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3303"/>
        <w:gridCol w:w="5911"/>
      </w:tblGrid>
      <w:tr w:rsidR="006B2F40">
        <w:tc>
          <w:tcPr>
            <w:tcW w:w="3303" w:type="dxa"/>
          </w:tcPr>
          <w:p w:rsidR="006B2F40" w:rsidRDefault="006C29FA">
            <w:pPr>
              <w:ind w:right="-144"/>
              <w:jc w:val="center"/>
              <w:rPr>
                <w:b/>
                <w:bCs/>
                <w:sz w:val="26"/>
                <w:szCs w:val="26"/>
              </w:rPr>
            </w:pPr>
            <w:r>
              <w:rPr>
                <w:b/>
                <w:bCs/>
                <w:sz w:val="26"/>
                <w:szCs w:val="26"/>
              </w:rPr>
              <w:t>BỘ Y TẾ</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6B2F40" w:rsidRDefault="006375C8" w:rsidP="00CD6E5D">
            <w:pPr>
              <w:spacing w:before="120"/>
              <w:ind w:right="-142"/>
              <w:jc w:val="center"/>
              <w:rPr>
                <w:b/>
                <w:bCs/>
                <w:sz w:val="26"/>
                <w:szCs w:val="26"/>
                <w:vertAlign w:val="superscript"/>
              </w:rPr>
            </w:pPr>
            <w:r>
              <w:rPr>
                <w:sz w:val="26"/>
                <w:szCs w:val="26"/>
              </w:rPr>
              <w:t>Số</w:t>
            </w:r>
            <w:r w:rsidR="006B2F40">
              <w:rPr>
                <w:sz w:val="26"/>
                <w:szCs w:val="26"/>
              </w:rPr>
              <w:t xml:space="preserve">: </w:t>
            </w:r>
            <w:r w:rsidR="00CD6E5D">
              <w:rPr>
                <w:sz w:val="26"/>
                <w:szCs w:val="26"/>
              </w:rPr>
              <w:t xml:space="preserve">        </w:t>
            </w:r>
            <w:r w:rsidR="0076675A">
              <w:rPr>
                <w:sz w:val="26"/>
                <w:szCs w:val="26"/>
              </w:rPr>
              <w:t>/</w:t>
            </w:r>
            <w:r w:rsidR="00CD6E5D">
              <w:rPr>
                <w:sz w:val="26"/>
                <w:szCs w:val="26"/>
              </w:rPr>
              <w:t>QĐ-BYT</w:t>
            </w:r>
          </w:p>
        </w:tc>
        <w:tc>
          <w:tcPr>
            <w:tcW w:w="5911"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CD6E5D">
            <w:pPr>
              <w:spacing w:before="120"/>
              <w:ind w:right="-142"/>
              <w:jc w:val="center"/>
              <w:rPr>
                <w:i/>
              </w:rPr>
            </w:pPr>
            <w:r>
              <w:rPr>
                <w:i/>
                <w:iCs/>
                <w:sz w:val="26"/>
                <w:szCs w:val="26"/>
              </w:rPr>
              <w:t>Hà Nội, ngày</w:t>
            </w:r>
            <w:r w:rsidR="0040766E">
              <w:rPr>
                <w:i/>
                <w:iCs/>
                <w:sz w:val="26"/>
                <w:szCs w:val="26"/>
              </w:rPr>
              <w:t xml:space="preserve"> </w:t>
            </w:r>
            <w:r w:rsidR="00CD6E5D">
              <w:rPr>
                <w:i/>
                <w:iCs/>
                <w:sz w:val="26"/>
                <w:szCs w:val="26"/>
              </w:rPr>
              <w:t xml:space="preserve">      </w:t>
            </w:r>
            <w:r>
              <w:rPr>
                <w:i/>
                <w:iCs/>
                <w:sz w:val="26"/>
                <w:szCs w:val="26"/>
              </w:rPr>
              <w:t>tháng</w:t>
            </w:r>
            <w:r w:rsidR="00CD6E5D">
              <w:rPr>
                <w:i/>
                <w:iCs/>
                <w:sz w:val="26"/>
                <w:szCs w:val="26"/>
              </w:rPr>
              <w:t xml:space="preserve">     </w:t>
            </w:r>
            <w:r w:rsidR="0040766E">
              <w:rPr>
                <w:i/>
                <w:iCs/>
                <w:sz w:val="26"/>
                <w:szCs w:val="26"/>
              </w:rPr>
              <w:t xml:space="preserve"> </w:t>
            </w:r>
            <w:r>
              <w:rPr>
                <w:i/>
                <w:iCs/>
                <w:sz w:val="26"/>
                <w:szCs w:val="26"/>
              </w:rPr>
              <w:t>năm</w:t>
            </w:r>
            <w:r w:rsidR="00CD6E5D">
              <w:rPr>
                <w:i/>
                <w:iCs/>
                <w:sz w:val="26"/>
                <w:szCs w:val="26"/>
              </w:rPr>
              <w:t xml:space="preserve"> 2020</w:t>
            </w:r>
          </w:p>
        </w:tc>
      </w:tr>
    </w:tbl>
    <w:p w:rsidR="00CD6E5D" w:rsidRPr="00733C72" w:rsidRDefault="00CD6E5D" w:rsidP="00CD6E5D">
      <w:pPr>
        <w:widowControl w:val="0"/>
        <w:spacing w:before="360"/>
        <w:jc w:val="center"/>
        <w:outlineLvl w:val="0"/>
        <w:rPr>
          <w:b/>
          <w:sz w:val="26"/>
          <w:szCs w:val="26"/>
          <w:lang w:val="es-ES"/>
        </w:rPr>
      </w:pPr>
      <w:r w:rsidRPr="00733C72">
        <w:rPr>
          <w:b/>
          <w:sz w:val="26"/>
          <w:szCs w:val="26"/>
          <w:lang w:val="es-ES"/>
        </w:rPr>
        <w:t>QUYẾT ĐỊNH</w:t>
      </w:r>
    </w:p>
    <w:p w:rsidR="00733C72" w:rsidRDefault="00CD6E5D" w:rsidP="00CD6E5D">
      <w:pPr>
        <w:pStyle w:val="Default"/>
        <w:tabs>
          <w:tab w:val="left" w:pos="993"/>
          <w:tab w:val="left" w:pos="1276"/>
        </w:tabs>
        <w:ind w:firstLine="709"/>
        <w:jc w:val="center"/>
        <w:rPr>
          <w:b/>
          <w:sz w:val="26"/>
          <w:szCs w:val="26"/>
        </w:rPr>
      </w:pPr>
      <w:r w:rsidRPr="00733C72">
        <w:rPr>
          <w:b/>
          <w:sz w:val="26"/>
          <w:szCs w:val="26"/>
        </w:rPr>
        <w:t xml:space="preserve">Phê duyệt Chương trình hỗ trợ thuốc Tagrisso (osimertinib) miễn phí một phần cho </w:t>
      </w:r>
      <w:r w:rsidR="0091140C" w:rsidRPr="00733C72">
        <w:rPr>
          <w:b/>
          <w:sz w:val="26"/>
          <w:szCs w:val="26"/>
        </w:rPr>
        <w:t>người bệnh</w:t>
      </w:r>
      <w:r w:rsidRPr="00733C72">
        <w:rPr>
          <w:b/>
          <w:sz w:val="26"/>
          <w:szCs w:val="26"/>
        </w:rPr>
        <w:t xml:space="preserve"> ung thư phổi không tế bào nhỏ giai đoạn tiến triển tại chỗ hoặc di căn có đột biến EGFR hoặc EGFR T790M dương tính do </w:t>
      </w:r>
    </w:p>
    <w:p w:rsidR="00CD6E5D" w:rsidRPr="00733C72" w:rsidRDefault="00CD6E5D" w:rsidP="00CD6E5D">
      <w:pPr>
        <w:pStyle w:val="Default"/>
        <w:tabs>
          <w:tab w:val="left" w:pos="993"/>
          <w:tab w:val="left" w:pos="1276"/>
        </w:tabs>
        <w:ind w:firstLine="709"/>
        <w:jc w:val="center"/>
        <w:rPr>
          <w:b/>
          <w:sz w:val="26"/>
          <w:szCs w:val="26"/>
          <w:lang w:val="es-ES"/>
        </w:rPr>
      </w:pPr>
      <w:r w:rsidRPr="00733C72">
        <w:rPr>
          <w:b/>
          <w:sz w:val="26"/>
          <w:szCs w:val="26"/>
          <w:lang w:val="es-ES"/>
        </w:rPr>
        <w:t>Công ty cổ phần Dược liệu Trung ương 2 thực hiện</w:t>
      </w:r>
    </w:p>
    <w:p w:rsidR="00CD6E5D" w:rsidRPr="001B6F7F" w:rsidRDefault="00CD6E5D" w:rsidP="00CD6E5D">
      <w:pPr>
        <w:ind w:right="-144"/>
        <w:jc w:val="center"/>
        <w:rPr>
          <w:b/>
          <w:bCs/>
          <w:sz w:val="27"/>
          <w:szCs w:val="27"/>
          <w:vertAlign w:val="superscript"/>
        </w:rPr>
      </w:pPr>
      <w:r w:rsidRPr="001B6F7F">
        <w:rPr>
          <w:b/>
          <w:bCs/>
          <w:sz w:val="27"/>
          <w:szCs w:val="27"/>
          <w:vertAlign w:val="superscript"/>
        </w:rPr>
        <w:t>___________________________________________________</w:t>
      </w:r>
    </w:p>
    <w:p w:rsidR="00CD6E5D" w:rsidRPr="00733C72" w:rsidRDefault="00CD6E5D" w:rsidP="00C03E78">
      <w:pPr>
        <w:widowControl w:val="0"/>
        <w:spacing w:before="240" w:after="240"/>
        <w:jc w:val="center"/>
        <w:outlineLvl w:val="0"/>
        <w:rPr>
          <w:b/>
          <w:sz w:val="26"/>
          <w:szCs w:val="26"/>
          <w:lang w:val="es-ES"/>
        </w:rPr>
      </w:pPr>
      <w:r w:rsidRPr="00733C72">
        <w:rPr>
          <w:b/>
          <w:sz w:val="26"/>
          <w:szCs w:val="26"/>
          <w:lang w:val="es-ES"/>
        </w:rPr>
        <w:t>BỘ TRƯỞNG BỘ Y TẾ</w:t>
      </w:r>
    </w:p>
    <w:p w:rsidR="00CD6E5D" w:rsidRPr="00733C72" w:rsidRDefault="00CD6E5D" w:rsidP="00CD6E5D">
      <w:pPr>
        <w:widowControl w:val="0"/>
        <w:shd w:val="clear" w:color="auto" w:fill="FFFFFF"/>
        <w:tabs>
          <w:tab w:val="center" w:pos="-1995"/>
          <w:tab w:val="left" w:pos="0"/>
        </w:tabs>
        <w:spacing w:before="360"/>
        <w:ind w:firstLine="720"/>
        <w:jc w:val="both"/>
        <w:rPr>
          <w:rFonts w:eastAsia="Batang"/>
          <w:sz w:val="26"/>
          <w:szCs w:val="26"/>
          <w:lang w:val="es-ES_tradnl"/>
        </w:rPr>
      </w:pPr>
      <w:r w:rsidRPr="00733C72">
        <w:rPr>
          <w:rFonts w:eastAsia="Batang"/>
          <w:sz w:val="26"/>
          <w:szCs w:val="26"/>
          <w:lang w:val="es-ES_tradnl"/>
        </w:rPr>
        <w:t xml:space="preserve">Căn cứ </w:t>
      </w:r>
      <w:r w:rsidRPr="00733C72">
        <w:rPr>
          <w:sz w:val="26"/>
          <w:szCs w:val="26"/>
          <w:lang w:val="fr-FR"/>
        </w:rPr>
        <w:t>Luật Dược số 105/2016/QH13 ngày 06 tháng 4 năm 2016</w:t>
      </w:r>
      <w:r w:rsidRPr="00733C72">
        <w:rPr>
          <w:rFonts w:eastAsia="Batang"/>
          <w:sz w:val="26"/>
          <w:szCs w:val="26"/>
          <w:lang w:val="es-ES_tradnl"/>
        </w:rPr>
        <w:t>;</w:t>
      </w:r>
    </w:p>
    <w:p w:rsidR="00CD6E5D" w:rsidRPr="00733C72" w:rsidRDefault="00CD6E5D" w:rsidP="00CD6E5D">
      <w:pPr>
        <w:widowControl w:val="0"/>
        <w:shd w:val="clear" w:color="auto" w:fill="FFFFFF"/>
        <w:autoSpaceDE w:val="0"/>
        <w:autoSpaceDN w:val="0"/>
        <w:adjustRightInd w:val="0"/>
        <w:spacing w:before="120"/>
        <w:ind w:firstLine="700"/>
        <w:jc w:val="both"/>
        <w:rPr>
          <w:rStyle w:val="st1"/>
          <w:bCs/>
          <w:sz w:val="26"/>
          <w:szCs w:val="26"/>
          <w:lang w:val="es-ES_tradnl"/>
        </w:rPr>
      </w:pPr>
      <w:r w:rsidRPr="00733C72">
        <w:rPr>
          <w:rStyle w:val="st1"/>
          <w:bCs/>
          <w:sz w:val="26"/>
          <w:szCs w:val="26"/>
          <w:lang w:val="es-ES_tradnl"/>
        </w:rPr>
        <w:t xml:space="preserve">Căn cứ </w:t>
      </w:r>
      <w:r w:rsidRPr="00733C72">
        <w:rPr>
          <w:rStyle w:val="st1"/>
          <w:bCs/>
          <w:sz w:val="26"/>
          <w:szCs w:val="26"/>
          <w:lang w:val="vi-VN"/>
        </w:rPr>
        <w:t>Nghị định</w:t>
      </w:r>
      <w:r w:rsidRPr="00733C72">
        <w:rPr>
          <w:rStyle w:val="st1"/>
          <w:sz w:val="26"/>
          <w:szCs w:val="26"/>
          <w:lang w:val="vi-VN"/>
        </w:rPr>
        <w:t xml:space="preserve"> số </w:t>
      </w:r>
      <w:r w:rsidRPr="00733C72">
        <w:rPr>
          <w:rStyle w:val="st1"/>
          <w:sz w:val="26"/>
          <w:szCs w:val="26"/>
          <w:lang w:val="es-ES_tradnl"/>
        </w:rPr>
        <w:t>75</w:t>
      </w:r>
      <w:r w:rsidRPr="00733C72">
        <w:rPr>
          <w:rStyle w:val="st1"/>
          <w:sz w:val="26"/>
          <w:szCs w:val="26"/>
          <w:lang w:val="vi-VN"/>
        </w:rPr>
        <w:t xml:space="preserve">/2017/NĐ-CP </w:t>
      </w:r>
      <w:r w:rsidRPr="00733C72">
        <w:rPr>
          <w:rStyle w:val="st1"/>
          <w:sz w:val="26"/>
          <w:szCs w:val="26"/>
          <w:lang w:val="es-ES_tradnl"/>
        </w:rPr>
        <w:t xml:space="preserve">ngày 20 tháng 6 năm 2017 </w:t>
      </w:r>
      <w:r w:rsidRPr="00733C72">
        <w:rPr>
          <w:rStyle w:val="st1"/>
          <w:bCs/>
          <w:sz w:val="26"/>
          <w:szCs w:val="26"/>
          <w:lang w:val="vi-VN"/>
        </w:rPr>
        <w:t>của</w:t>
      </w:r>
      <w:r w:rsidRPr="00733C72">
        <w:rPr>
          <w:rStyle w:val="st1"/>
          <w:sz w:val="26"/>
          <w:szCs w:val="26"/>
          <w:lang w:val="vi-VN"/>
        </w:rPr>
        <w:t xml:space="preserve"> Chính phủ </w:t>
      </w:r>
      <w:r w:rsidRPr="00733C72">
        <w:rPr>
          <w:rStyle w:val="st1"/>
          <w:bCs/>
          <w:sz w:val="26"/>
          <w:szCs w:val="26"/>
          <w:lang w:val="es-ES_tradnl"/>
        </w:rPr>
        <w:t>q</w:t>
      </w:r>
      <w:r w:rsidRPr="00733C72">
        <w:rPr>
          <w:rStyle w:val="st1"/>
          <w:bCs/>
          <w:sz w:val="26"/>
          <w:szCs w:val="26"/>
          <w:lang w:val="vi-VN"/>
        </w:rPr>
        <w:t>uy định</w:t>
      </w:r>
      <w:r w:rsidRPr="00733C72">
        <w:rPr>
          <w:rStyle w:val="st1"/>
          <w:sz w:val="26"/>
          <w:szCs w:val="26"/>
          <w:lang w:val="vi-VN"/>
        </w:rPr>
        <w:t xml:space="preserve"> chức năng, nhiệm vụ, quyền hạn và </w:t>
      </w:r>
      <w:r w:rsidRPr="00733C72">
        <w:rPr>
          <w:rStyle w:val="st1"/>
          <w:bCs/>
          <w:sz w:val="26"/>
          <w:szCs w:val="26"/>
          <w:lang w:val="vi-VN"/>
        </w:rPr>
        <w:t>cơ cấu tổ chức của Bộ Y tế</w:t>
      </w:r>
      <w:r w:rsidRPr="00733C72">
        <w:rPr>
          <w:rStyle w:val="st1"/>
          <w:bCs/>
          <w:sz w:val="26"/>
          <w:szCs w:val="26"/>
          <w:lang w:val="es-ES_tradnl"/>
        </w:rPr>
        <w:t>;</w:t>
      </w:r>
    </w:p>
    <w:p w:rsidR="00CD6E5D" w:rsidRPr="00733C72" w:rsidRDefault="00CD6E5D" w:rsidP="00CD6E5D">
      <w:pPr>
        <w:widowControl w:val="0"/>
        <w:autoSpaceDE w:val="0"/>
        <w:autoSpaceDN w:val="0"/>
        <w:adjustRightInd w:val="0"/>
        <w:spacing w:before="120"/>
        <w:ind w:right="71" w:firstLine="700"/>
        <w:jc w:val="both"/>
        <w:rPr>
          <w:rStyle w:val="st1"/>
          <w:bCs/>
          <w:kern w:val="2"/>
          <w:sz w:val="26"/>
          <w:szCs w:val="26"/>
          <w:lang w:val="es-ES_tradnl"/>
        </w:rPr>
      </w:pPr>
      <w:r w:rsidRPr="00733C72">
        <w:rPr>
          <w:rStyle w:val="st1"/>
          <w:bCs/>
          <w:kern w:val="2"/>
          <w:sz w:val="26"/>
          <w:szCs w:val="26"/>
          <w:lang w:val="es-ES_tradnl"/>
        </w:rPr>
        <w:t xml:space="preserve">Căn cứ Thông tư số 31/2018/TT-BYT ngày 30 tháng 10 năm 2018 của Bộ Y tế </w:t>
      </w:r>
      <w:r w:rsidRPr="00733C72">
        <w:rPr>
          <w:sz w:val="26"/>
          <w:szCs w:val="26"/>
          <w:lang w:val="fr-FR"/>
        </w:rPr>
        <w:t>quy định thực hiện chương trình hỗ trợ thuốc miễn phí cho cơ sở khám bệnh, chữa bệnh để điều trị cho người bệnh do cơ sở kinh doanh dược thực hiện</w:t>
      </w:r>
      <w:r w:rsidRPr="00733C72">
        <w:rPr>
          <w:rStyle w:val="st1"/>
          <w:bCs/>
          <w:kern w:val="2"/>
          <w:sz w:val="26"/>
          <w:szCs w:val="26"/>
          <w:lang w:val="es-ES_tradnl"/>
        </w:rPr>
        <w:t>;</w:t>
      </w:r>
    </w:p>
    <w:p w:rsidR="00CD6E5D" w:rsidRPr="00733C72" w:rsidRDefault="00CD6E5D" w:rsidP="00CD6E5D">
      <w:pPr>
        <w:widowControl w:val="0"/>
        <w:shd w:val="clear" w:color="auto" w:fill="FFFFFF"/>
        <w:autoSpaceDE w:val="0"/>
        <w:autoSpaceDN w:val="0"/>
        <w:adjustRightInd w:val="0"/>
        <w:spacing w:before="120"/>
        <w:ind w:right="71" w:firstLine="700"/>
        <w:jc w:val="both"/>
        <w:rPr>
          <w:rStyle w:val="st1"/>
          <w:rFonts w:eastAsia="Batang"/>
          <w:sz w:val="26"/>
          <w:szCs w:val="26"/>
          <w:lang w:val="es-ES_tradnl"/>
        </w:rPr>
      </w:pPr>
      <w:r w:rsidRPr="00733C72">
        <w:rPr>
          <w:rStyle w:val="st1"/>
          <w:bCs/>
          <w:kern w:val="2"/>
          <w:sz w:val="26"/>
          <w:szCs w:val="26"/>
          <w:lang w:val="es-ES_tradnl"/>
        </w:rPr>
        <w:t xml:space="preserve">Căn cứ </w:t>
      </w:r>
      <w:r w:rsidRPr="00733C72">
        <w:rPr>
          <w:sz w:val="26"/>
          <w:szCs w:val="26"/>
          <w:lang w:val="fr-FR"/>
        </w:rPr>
        <w:t>Quyết định số 7377/QĐ-BYT ngà</w:t>
      </w:r>
      <w:r w:rsidR="00BC77BF" w:rsidRPr="00733C72">
        <w:rPr>
          <w:sz w:val="26"/>
          <w:szCs w:val="26"/>
          <w:lang w:val="fr-FR"/>
        </w:rPr>
        <w:t xml:space="preserve">y 12 tháng 12 năm </w:t>
      </w:r>
      <w:r w:rsidRPr="00733C72">
        <w:rPr>
          <w:sz w:val="26"/>
          <w:szCs w:val="26"/>
          <w:lang w:val="fr-FR"/>
        </w:rPr>
        <w:t>2018 v</w:t>
      </w:r>
      <w:r w:rsidRPr="00733C72">
        <w:rPr>
          <w:sz w:val="26"/>
          <w:szCs w:val="26"/>
        </w:rPr>
        <w:t>ề việc công bố thủ tục hành chính mới ban hành lĩnh vực khám bệnh, chữa bệnh thuộc phạm vi chức năng quản lý của Bộ Y tế;</w:t>
      </w:r>
    </w:p>
    <w:p w:rsidR="00CD6E5D" w:rsidRPr="00733C72" w:rsidRDefault="00CD6E5D" w:rsidP="00CD6E5D">
      <w:pPr>
        <w:widowControl w:val="0"/>
        <w:spacing w:before="120"/>
        <w:ind w:firstLine="720"/>
        <w:jc w:val="both"/>
        <w:rPr>
          <w:sz w:val="26"/>
          <w:szCs w:val="26"/>
        </w:rPr>
      </w:pPr>
      <w:r w:rsidRPr="00733C72">
        <w:rPr>
          <w:sz w:val="26"/>
          <w:szCs w:val="26"/>
        </w:rPr>
        <w:t xml:space="preserve">Căn cứ Hồ sơ đề nghị phê duyệt thực hiện Chương trình hỗ trợ thuốc Tagrisso (osimertinib) miễn phí một phần cho </w:t>
      </w:r>
      <w:r w:rsidR="00875A22" w:rsidRPr="00733C72">
        <w:rPr>
          <w:sz w:val="26"/>
          <w:szCs w:val="26"/>
        </w:rPr>
        <w:t>người bệnh</w:t>
      </w:r>
      <w:r w:rsidRPr="00733C72">
        <w:rPr>
          <w:sz w:val="26"/>
          <w:szCs w:val="26"/>
        </w:rPr>
        <w:t xml:space="preserve"> ung thư phổi không tế bào nhỏ giai đoạn tiến triển tại chỗ hoặc di căn có đột biến EGFR hoặc EGFR T790M dương tính của </w:t>
      </w:r>
      <w:r w:rsidRPr="00733C72">
        <w:rPr>
          <w:sz w:val="26"/>
          <w:szCs w:val="26"/>
          <w:lang w:val="es-ES"/>
        </w:rPr>
        <w:t>Công ty cổ phần Dược liệu Trung ương 2</w:t>
      </w:r>
      <w:r w:rsidRPr="00733C72">
        <w:rPr>
          <w:sz w:val="26"/>
          <w:szCs w:val="26"/>
        </w:rPr>
        <w:t>;</w:t>
      </w:r>
    </w:p>
    <w:p w:rsidR="00CD6E5D" w:rsidRPr="00733C72" w:rsidRDefault="00CD6E5D" w:rsidP="00CD6E5D">
      <w:pPr>
        <w:widowControl w:val="0"/>
        <w:spacing w:before="120"/>
        <w:ind w:firstLine="720"/>
        <w:jc w:val="both"/>
        <w:rPr>
          <w:sz w:val="26"/>
          <w:szCs w:val="26"/>
          <w:lang w:val="es-ES_tradnl"/>
        </w:rPr>
      </w:pPr>
      <w:r w:rsidRPr="00733C72">
        <w:rPr>
          <w:sz w:val="26"/>
          <w:szCs w:val="26"/>
          <w:lang w:val="es-ES_tradnl"/>
        </w:rPr>
        <w:t xml:space="preserve">Căn cứ </w:t>
      </w:r>
      <w:r w:rsidR="00627220" w:rsidRPr="00733C72">
        <w:rPr>
          <w:rStyle w:val="st1"/>
          <w:sz w:val="26"/>
          <w:szCs w:val="26"/>
          <w:lang w:val="es-ES_tradnl"/>
        </w:rPr>
        <w:t xml:space="preserve">Biên bản số </w:t>
      </w:r>
      <w:r w:rsidR="00F77D78" w:rsidRPr="00733C72">
        <w:rPr>
          <w:rStyle w:val="st1"/>
          <w:sz w:val="26"/>
          <w:szCs w:val="26"/>
          <w:lang w:val="es-ES_tradnl"/>
        </w:rPr>
        <w:t>1736</w:t>
      </w:r>
      <w:r w:rsidR="00627220" w:rsidRPr="00733C72">
        <w:rPr>
          <w:rStyle w:val="st1"/>
          <w:sz w:val="26"/>
          <w:szCs w:val="26"/>
          <w:lang w:val="es-ES_tradnl"/>
        </w:rPr>
        <w:t xml:space="preserve">/BB-BYT ngày </w:t>
      </w:r>
      <w:r w:rsidR="00F77D78" w:rsidRPr="00733C72">
        <w:rPr>
          <w:rStyle w:val="st1"/>
          <w:sz w:val="26"/>
          <w:szCs w:val="26"/>
          <w:lang w:val="es-ES_tradnl"/>
        </w:rPr>
        <w:t xml:space="preserve">03 </w:t>
      </w:r>
      <w:r w:rsidR="00627220" w:rsidRPr="00733C72">
        <w:rPr>
          <w:rStyle w:val="st1"/>
          <w:sz w:val="26"/>
          <w:szCs w:val="26"/>
          <w:lang w:val="es-ES_tradnl"/>
        </w:rPr>
        <w:t>tháng 11</w:t>
      </w:r>
      <w:r w:rsidR="00F77D78" w:rsidRPr="00733C72">
        <w:rPr>
          <w:rStyle w:val="st1"/>
          <w:sz w:val="26"/>
          <w:szCs w:val="26"/>
          <w:lang w:val="es-ES_tradnl"/>
        </w:rPr>
        <w:t xml:space="preserve"> </w:t>
      </w:r>
      <w:r w:rsidR="00627220" w:rsidRPr="00733C72">
        <w:rPr>
          <w:rStyle w:val="st1"/>
          <w:sz w:val="26"/>
          <w:szCs w:val="26"/>
          <w:lang w:val="es-ES_tradnl"/>
        </w:rPr>
        <w:t>năm 2020</w:t>
      </w:r>
      <w:r w:rsidRPr="00733C72">
        <w:rPr>
          <w:rStyle w:val="st1"/>
          <w:sz w:val="26"/>
          <w:szCs w:val="26"/>
          <w:lang w:val="es-ES_tradnl"/>
        </w:rPr>
        <w:t xml:space="preserve"> </w:t>
      </w:r>
      <w:r w:rsidRPr="00733C72">
        <w:rPr>
          <w:sz w:val="26"/>
          <w:szCs w:val="26"/>
          <w:lang w:val="fr-FR"/>
        </w:rPr>
        <w:t>họp Hội đồng thẩm định chương trình hỗ trợ thuốc miễn phí một phần không thuộc khoản viện trợ phi Chính phủ nước ngoài</w:t>
      </w:r>
      <w:r w:rsidRPr="00733C72">
        <w:rPr>
          <w:sz w:val="26"/>
          <w:szCs w:val="26"/>
          <w:lang w:val="es-ES_tradnl"/>
        </w:rPr>
        <w:t>;</w:t>
      </w:r>
    </w:p>
    <w:p w:rsidR="00CD6E5D" w:rsidRPr="00733C72" w:rsidRDefault="00CD6E5D" w:rsidP="00CD6E5D">
      <w:pPr>
        <w:widowControl w:val="0"/>
        <w:spacing w:before="120"/>
        <w:ind w:firstLine="720"/>
        <w:jc w:val="both"/>
        <w:rPr>
          <w:sz w:val="26"/>
          <w:szCs w:val="26"/>
          <w:lang w:val="es-ES_tradnl"/>
        </w:rPr>
      </w:pPr>
      <w:r w:rsidRPr="00733C72">
        <w:rPr>
          <w:sz w:val="26"/>
          <w:szCs w:val="26"/>
          <w:lang w:val="es-ES_tradnl"/>
        </w:rPr>
        <w:t>Theo đề nghị của Vụ trưởng Vụ Bảo hiểm y tế,</w:t>
      </w:r>
    </w:p>
    <w:p w:rsidR="00CD6E5D" w:rsidRPr="00733C72" w:rsidRDefault="00CD6E5D" w:rsidP="00C03E78">
      <w:pPr>
        <w:widowControl w:val="0"/>
        <w:spacing w:before="240" w:after="240"/>
        <w:jc w:val="center"/>
        <w:outlineLvl w:val="0"/>
        <w:rPr>
          <w:b/>
          <w:sz w:val="26"/>
          <w:szCs w:val="26"/>
          <w:lang w:val="es-ES_tradnl"/>
        </w:rPr>
      </w:pPr>
      <w:r w:rsidRPr="00733C72">
        <w:rPr>
          <w:b/>
          <w:sz w:val="26"/>
          <w:szCs w:val="26"/>
          <w:lang w:val="es-ES_tradnl"/>
        </w:rPr>
        <w:t>QUYẾT ĐỊNH:</w:t>
      </w:r>
    </w:p>
    <w:p w:rsidR="00CD6E5D" w:rsidRPr="00733C72" w:rsidRDefault="00CD6E5D" w:rsidP="00CD6E5D">
      <w:pPr>
        <w:widowControl w:val="0"/>
        <w:spacing w:before="120"/>
        <w:ind w:firstLine="720"/>
        <w:jc w:val="both"/>
        <w:rPr>
          <w:sz w:val="26"/>
          <w:szCs w:val="26"/>
          <w:lang w:val="es-ES"/>
        </w:rPr>
      </w:pPr>
      <w:r w:rsidRPr="00733C72">
        <w:rPr>
          <w:b/>
          <w:sz w:val="26"/>
          <w:szCs w:val="26"/>
          <w:lang w:val="es-ES_tradnl"/>
        </w:rPr>
        <w:t>Điều 1.</w:t>
      </w:r>
      <w:r w:rsidRPr="00733C72">
        <w:rPr>
          <w:sz w:val="26"/>
          <w:szCs w:val="26"/>
          <w:lang w:val="es-ES_tradnl"/>
        </w:rPr>
        <w:t xml:space="preserve"> </w:t>
      </w:r>
      <w:r w:rsidRPr="00733C72">
        <w:rPr>
          <w:sz w:val="26"/>
          <w:szCs w:val="26"/>
          <w:lang w:val="es-ES"/>
        </w:rPr>
        <w:t xml:space="preserve">Phê duyệt </w:t>
      </w:r>
      <w:r w:rsidRPr="00733C72">
        <w:rPr>
          <w:sz w:val="26"/>
          <w:szCs w:val="26"/>
        </w:rPr>
        <w:t xml:space="preserve">Chương trình hỗ trợ thuốc Tagrisso (osimertinib) miễn phí một phần cho </w:t>
      </w:r>
      <w:r w:rsidR="00875A22" w:rsidRPr="00733C72">
        <w:rPr>
          <w:sz w:val="26"/>
          <w:szCs w:val="26"/>
        </w:rPr>
        <w:t>người bệnh</w:t>
      </w:r>
      <w:r w:rsidRPr="00733C72">
        <w:rPr>
          <w:sz w:val="26"/>
          <w:szCs w:val="26"/>
        </w:rPr>
        <w:t xml:space="preserve"> ung thư phổi không tế bào nhỏ giai đoạn tiến triển tại chỗ hoặc di căn có đột biến EGFR hoặc EGFR T790M dương tính do </w:t>
      </w:r>
      <w:r w:rsidRPr="00733C72">
        <w:rPr>
          <w:sz w:val="26"/>
          <w:szCs w:val="26"/>
          <w:lang w:val="es-ES"/>
        </w:rPr>
        <w:t>Công ty cổ phần Dược liệu Trung ương 2 thực hiện, với các nội dung chính như sau:</w:t>
      </w:r>
    </w:p>
    <w:p w:rsidR="00CD6E5D" w:rsidRPr="00733C72" w:rsidRDefault="00CD6E5D" w:rsidP="00CD6E5D">
      <w:pPr>
        <w:widowControl w:val="0"/>
        <w:spacing w:before="120"/>
        <w:ind w:firstLine="720"/>
        <w:jc w:val="both"/>
        <w:rPr>
          <w:sz w:val="26"/>
          <w:szCs w:val="26"/>
          <w:lang w:val="es-ES_tradnl"/>
        </w:rPr>
      </w:pPr>
      <w:r w:rsidRPr="00733C72">
        <w:rPr>
          <w:sz w:val="26"/>
          <w:szCs w:val="26"/>
          <w:lang w:val="es-ES_tradnl"/>
        </w:rPr>
        <w:t>1. Tên Chương trình</w:t>
      </w:r>
    </w:p>
    <w:p w:rsidR="00CD6E5D" w:rsidRPr="00733C72" w:rsidRDefault="00CD6E5D" w:rsidP="00CD6E5D">
      <w:pPr>
        <w:widowControl w:val="0"/>
        <w:spacing w:before="120"/>
        <w:ind w:firstLine="720"/>
        <w:jc w:val="both"/>
        <w:rPr>
          <w:sz w:val="26"/>
          <w:szCs w:val="26"/>
        </w:rPr>
      </w:pPr>
      <w:r w:rsidRPr="00733C72">
        <w:rPr>
          <w:sz w:val="26"/>
          <w:szCs w:val="26"/>
        </w:rPr>
        <w:t xml:space="preserve">Chương trình hỗ trợ thuốc Tagrisso (osimertinib) miễn phí một phần cho </w:t>
      </w:r>
      <w:r w:rsidR="008E02E2" w:rsidRPr="00733C72">
        <w:rPr>
          <w:sz w:val="26"/>
          <w:szCs w:val="26"/>
        </w:rPr>
        <w:t>người bệnh</w:t>
      </w:r>
      <w:r w:rsidRPr="00733C72">
        <w:rPr>
          <w:sz w:val="26"/>
          <w:szCs w:val="26"/>
        </w:rPr>
        <w:t xml:space="preserve"> ung thư phổi không tế bào nhỏ giai đoạn tiến triển tại chỗ hoặc di căn có đột biến EGFR hoặc EGFR T790M dương tính.</w:t>
      </w:r>
    </w:p>
    <w:p w:rsidR="00CD6E5D" w:rsidRPr="00733C72" w:rsidRDefault="00CD6E5D" w:rsidP="00CD6E5D">
      <w:pPr>
        <w:widowControl w:val="0"/>
        <w:tabs>
          <w:tab w:val="left" w:pos="6045"/>
          <w:tab w:val="right" w:pos="9072"/>
        </w:tabs>
        <w:spacing w:before="120"/>
        <w:ind w:firstLine="720"/>
        <w:jc w:val="both"/>
        <w:rPr>
          <w:sz w:val="26"/>
          <w:szCs w:val="26"/>
          <w:lang w:val="es-ES"/>
        </w:rPr>
      </w:pPr>
      <w:r w:rsidRPr="00733C72">
        <w:rPr>
          <w:sz w:val="26"/>
          <w:szCs w:val="26"/>
          <w:lang w:val="es-ES"/>
        </w:rPr>
        <w:t>2. Thuốc sử dụng trong Chương trình</w:t>
      </w:r>
      <w:r w:rsidRPr="00733C72">
        <w:rPr>
          <w:sz w:val="26"/>
          <w:szCs w:val="26"/>
          <w:lang w:val="es-ES"/>
        </w:rPr>
        <w:tab/>
      </w:r>
      <w:r w:rsidRPr="00733C72">
        <w:rPr>
          <w:sz w:val="26"/>
          <w:szCs w:val="26"/>
          <w:lang w:val="es-ES"/>
        </w:rPr>
        <w:tab/>
      </w:r>
    </w:p>
    <w:p w:rsidR="0019674F" w:rsidRPr="00733C72" w:rsidRDefault="00CD6E5D" w:rsidP="00CD6E5D">
      <w:pPr>
        <w:widowControl w:val="0"/>
        <w:spacing w:before="120"/>
        <w:ind w:firstLine="720"/>
        <w:jc w:val="both"/>
        <w:rPr>
          <w:sz w:val="26"/>
          <w:szCs w:val="26"/>
          <w:lang w:val="es-ES"/>
        </w:rPr>
      </w:pPr>
      <w:r w:rsidRPr="00733C72">
        <w:rPr>
          <w:sz w:val="26"/>
          <w:szCs w:val="26"/>
          <w:lang w:val="es-ES"/>
        </w:rPr>
        <w:t xml:space="preserve">- Thuốc do người bệnh chi trả: </w:t>
      </w:r>
    </w:p>
    <w:p w:rsidR="00CD6E5D" w:rsidRPr="00733C72" w:rsidRDefault="00CD6E5D" w:rsidP="00CD6E5D">
      <w:pPr>
        <w:widowControl w:val="0"/>
        <w:spacing w:before="120"/>
        <w:ind w:firstLine="720"/>
        <w:jc w:val="both"/>
        <w:rPr>
          <w:spacing w:val="-2"/>
          <w:sz w:val="26"/>
          <w:szCs w:val="26"/>
        </w:rPr>
      </w:pPr>
      <w:r w:rsidRPr="00733C72">
        <w:rPr>
          <w:spacing w:val="-2"/>
          <w:sz w:val="26"/>
          <w:szCs w:val="26"/>
          <w:lang w:val="es-ES"/>
        </w:rPr>
        <w:lastRenderedPageBreak/>
        <w:t xml:space="preserve">Thuốc </w:t>
      </w:r>
      <w:r w:rsidRPr="00733C72">
        <w:rPr>
          <w:spacing w:val="-2"/>
          <w:sz w:val="26"/>
          <w:szCs w:val="26"/>
        </w:rPr>
        <w:t>Tagrisso (osimertinib)</w:t>
      </w:r>
      <w:r w:rsidR="005B2115" w:rsidRPr="00733C72">
        <w:rPr>
          <w:spacing w:val="-2"/>
          <w:sz w:val="26"/>
          <w:szCs w:val="26"/>
        </w:rPr>
        <w:t>,</w:t>
      </w:r>
      <w:r w:rsidRPr="00733C72">
        <w:rPr>
          <w:spacing w:val="-2"/>
          <w:sz w:val="26"/>
          <w:szCs w:val="26"/>
        </w:rPr>
        <w:t xml:space="preserve"> </w:t>
      </w:r>
      <w:r w:rsidR="005B2115" w:rsidRPr="00733C72">
        <w:rPr>
          <w:spacing w:val="-2"/>
          <w:sz w:val="26"/>
          <w:szCs w:val="26"/>
        </w:rPr>
        <w:t>viên nén bao phim</w:t>
      </w:r>
      <w:r w:rsidR="005B2115" w:rsidRPr="00733C72">
        <w:rPr>
          <w:spacing w:val="-2"/>
          <w:sz w:val="26"/>
          <w:szCs w:val="26"/>
          <w:lang w:val="es-ES"/>
        </w:rPr>
        <w:t xml:space="preserve">, nhà sản xuất </w:t>
      </w:r>
      <w:r w:rsidR="005B2115" w:rsidRPr="00733C72">
        <w:rPr>
          <w:spacing w:val="-2"/>
          <w:sz w:val="26"/>
          <w:szCs w:val="26"/>
        </w:rPr>
        <w:t>AstraZeneca AB, Thụy Điển:</w:t>
      </w:r>
      <w:r w:rsidR="0019674F" w:rsidRPr="00733C72">
        <w:rPr>
          <w:spacing w:val="-2"/>
          <w:sz w:val="26"/>
          <w:szCs w:val="26"/>
        </w:rPr>
        <w:t xml:space="preserve"> </w:t>
      </w:r>
      <w:r w:rsidR="005B2115" w:rsidRPr="00733C72">
        <w:rPr>
          <w:spacing w:val="-2"/>
          <w:sz w:val="26"/>
          <w:szCs w:val="26"/>
        </w:rPr>
        <w:t xml:space="preserve">Hàm lượng </w:t>
      </w:r>
      <w:r w:rsidRPr="00733C72">
        <w:rPr>
          <w:spacing w:val="-2"/>
          <w:sz w:val="26"/>
          <w:szCs w:val="26"/>
        </w:rPr>
        <w:t xml:space="preserve">80mg, </w:t>
      </w:r>
      <w:r w:rsidR="005B2115" w:rsidRPr="00733C72">
        <w:rPr>
          <w:spacing w:val="-2"/>
          <w:sz w:val="26"/>
          <w:szCs w:val="26"/>
          <w:lang w:val="es-ES"/>
        </w:rPr>
        <w:t>hộp 3 vỉ x 10 viên hoặc</w:t>
      </w:r>
      <w:r w:rsidRPr="00733C72">
        <w:rPr>
          <w:spacing w:val="-2"/>
          <w:sz w:val="26"/>
          <w:szCs w:val="26"/>
          <w:lang w:val="es-ES"/>
        </w:rPr>
        <w:t xml:space="preserve"> </w:t>
      </w:r>
      <w:r w:rsidR="005B2115" w:rsidRPr="00733C72">
        <w:rPr>
          <w:spacing w:val="-2"/>
          <w:sz w:val="26"/>
          <w:szCs w:val="26"/>
          <w:lang w:val="es-ES"/>
        </w:rPr>
        <w:t>1 vỉ x 10 viên</w:t>
      </w:r>
      <w:r w:rsidR="005B2115" w:rsidRPr="00733C72">
        <w:rPr>
          <w:color w:val="FF0000"/>
          <w:spacing w:val="-2"/>
          <w:sz w:val="26"/>
          <w:szCs w:val="26"/>
          <w:lang w:val="es-ES"/>
        </w:rPr>
        <w:t xml:space="preserve"> </w:t>
      </w:r>
      <w:r w:rsidR="005B2115" w:rsidRPr="00733C72">
        <w:rPr>
          <w:spacing w:val="-2"/>
          <w:sz w:val="26"/>
          <w:szCs w:val="26"/>
          <w:lang w:val="es-ES"/>
        </w:rPr>
        <w:t>(</w:t>
      </w:r>
      <w:r w:rsidRPr="00733C72">
        <w:rPr>
          <w:spacing w:val="-2"/>
          <w:sz w:val="26"/>
          <w:szCs w:val="26"/>
          <w:lang w:val="es-ES"/>
        </w:rPr>
        <w:t xml:space="preserve">số đăng ký </w:t>
      </w:r>
      <w:r w:rsidR="005B2115" w:rsidRPr="00733C72">
        <w:rPr>
          <w:spacing w:val="-2"/>
          <w:sz w:val="26"/>
          <w:szCs w:val="26"/>
        </w:rPr>
        <w:t>VN3-36-18)</w:t>
      </w:r>
      <w:r w:rsidRPr="00733C72">
        <w:rPr>
          <w:spacing w:val="-2"/>
          <w:sz w:val="26"/>
          <w:szCs w:val="26"/>
        </w:rPr>
        <w:t xml:space="preserve">; </w:t>
      </w:r>
      <w:r w:rsidR="0019674F" w:rsidRPr="00733C72">
        <w:rPr>
          <w:spacing w:val="-2"/>
          <w:sz w:val="26"/>
          <w:szCs w:val="26"/>
        </w:rPr>
        <w:t>hoặc h</w:t>
      </w:r>
      <w:r w:rsidRPr="00733C72">
        <w:rPr>
          <w:spacing w:val="-2"/>
          <w:sz w:val="26"/>
          <w:szCs w:val="26"/>
          <w:lang w:val="es-ES"/>
        </w:rPr>
        <w:t xml:space="preserve">àm lượng </w:t>
      </w:r>
      <w:r w:rsidRPr="00733C72">
        <w:rPr>
          <w:spacing w:val="-2"/>
          <w:sz w:val="26"/>
          <w:szCs w:val="26"/>
        </w:rPr>
        <w:t xml:space="preserve">40mg, </w:t>
      </w:r>
      <w:r w:rsidRPr="00733C72">
        <w:rPr>
          <w:spacing w:val="-2"/>
          <w:sz w:val="26"/>
          <w:szCs w:val="26"/>
          <w:lang w:val="es-ES"/>
        </w:rPr>
        <w:t>hộp 3 vỉ x 10 viên</w:t>
      </w:r>
      <w:r w:rsidR="005B2115" w:rsidRPr="00733C72">
        <w:rPr>
          <w:spacing w:val="-2"/>
          <w:sz w:val="26"/>
          <w:szCs w:val="26"/>
          <w:lang w:val="es-ES"/>
        </w:rPr>
        <w:t xml:space="preserve"> (</w:t>
      </w:r>
      <w:r w:rsidRPr="00733C72">
        <w:rPr>
          <w:spacing w:val="-2"/>
          <w:sz w:val="26"/>
          <w:szCs w:val="26"/>
          <w:lang w:val="es-ES"/>
        </w:rPr>
        <w:t xml:space="preserve">số đăng ký </w:t>
      </w:r>
      <w:r w:rsidRPr="00733C72">
        <w:rPr>
          <w:spacing w:val="-2"/>
          <w:sz w:val="26"/>
          <w:szCs w:val="26"/>
        </w:rPr>
        <w:t>VN3-35-18</w:t>
      </w:r>
      <w:r w:rsidR="005B2115" w:rsidRPr="00733C72">
        <w:rPr>
          <w:spacing w:val="-2"/>
          <w:sz w:val="26"/>
          <w:szCs w:val="26"/>
        </w:rPr>
        <w:t>)</w:t>
      </w:r>
      <w:r w:rsidRPr="00733C72">
        <w:rPr>
          <w:spacing w:val="-2"/>
          <w:sz w:val="26"/>
          <w:szCs w:val="26"/>
        </w:rPr>
        <w:t>.</w:t>
      </w:r>
    </w:p>
    <w:p w:rsidR="00CD6E5D" w:rsidRPr="00733C72" w:rsidRDefault="00CD6E5D" w:rsidP="00CD6E5D">
      <w:pPr>
        <w:widowControl w:val="0"/>
        <w:tabs>
          <w:tab w:val="left" w:pos="709"/>
        </w:tabs>
        <w:spacing w:before="120"/>
        <w:jc w:val="both"/>
        <w:rPr>
          <w:sz w:val="26"/>
          <w:szCs w:val="26"/>
          <w:lang w:val="es-ES"/>
        </w:rPr>
      </w:pPr>
      <w:r w:rsidRPr="00733C72">
        <w:rPr>
          <w:sz w:val="26"/>
          <w:szCs w:val="26"/>
          <w:lang w:val="es-ES"/>
        </w:rPr>
        <w:tab/>
        <w:t>- Thuốc sử dụng để hỗ trợ:</w:t>
      </w:r>
      <w:r w:rsidR="005B2115" w:rsidRPr="00733C72">
        <w:rPr>
          <w:sz w:val="26"/>
          <w:szCs w:val="26"/>
          <w:lang w:val="es-ES"/>
        </w:rPr>
        <w:t xml:space="preserve"> </w:t>
      </w:r>
    </w:p>
    <w:p w:rsidR="0019674F" w:rsidRPr="00733C72" w:rsidRDefault="0019674F" w:rsidP="0019674F">
      <w:pPr>
        <w:widowControl w:val="0"/>
        <w:spacing w:before="120"/>
        <w:ind w:firstLine="720"/>
        <w:jc w:val="both"/>
        <w:rPr>
          <w:sz w:val="26"/>
          <w:szCs w:val="26"/>
        </w:rPr>
      </w:pPr>
      <w:r w:rsidRPr="00733C72">
        <w:rPr>
          <w:sz w:val="26"/>
          <w:szCs w:val="26"/>
          <w:lang w:val="es-ES"/>
        </w:rPr>
        <w:t xml:space="preserve">Thuốc </w:t>
      </w:r>
      <w:r w:rsidRPr="00733C72">
        <w:rPr>
          <w:sz w:val="26"/>
          <w:szCs w:val="26"/>
        </w:rPr>
        <w:t>Tagrisso (osimertinib), viên nén bao phim</w:t>
      </w:r>
      <w:r w:rsidRPr="00733C72">
        <w:rPr>
          <w:sz w:val="26"/>
          <w:szCs w:val="26"/>
          <w:lang w:val="es-ES"/>
        </w:rPr>
        <w:t xml:space="preserve">, nhà sản xuất </w:t>
      </w:r>
      <w:r w:rsidRPr="00733C72">
        <w:rPr>
          <w:sz w:val="26"/>
          <w:szCs w:val="26"/>
        </w:rPr>
        <w:t xml:space="preserve">AstraZeneca AB, Thụy Điển: Hàm lượng 80mg, </w:t>
      </w:r>
      <w:r w:rsidRPr="00733C72">
        <w:rPr>
          <w:sz w:val="26"/>
          <w:szCs w:val="26"/>
          <w:lang w:val="es-ES"/>
        </w:rPr>
        <w:t xml:space="preserve">hộp 3 vỉ x 10 viên (số đăng ký </w:t>
      </w:r>
      <w:r w:rsidRPr="00733C72">
        <w:rPr>
          <w:sz w:val="26"/>
          <w:szCs w:val="26"/>
        </w:rPr>
        <w:t>VN3-36-18); hoặc h</w:t>
      </w:r>
      <w:r w:rsidRPr="00733C72">
        <w:rPr>
          <w:sz w:val="26"/>
          <w:szCs w:val="26"/>
          <w:lang w:val="es-ES"/>
        </w:rPr>
        <w:t xml:space="preserve">àm lượng </w:t>
      </w:r>
      <w:r w:rsidRPr="00733C72">
        <w:rPr>
          <w:sz w:val="26"/>
          <w:szCs w:val="26"/>
        </w:rPr>
        <w:t xml:space="preserve">40mg, </w:t>
      </w:r>
      <w:r w:rsidRPr="00733C72">
        <w:rPr>
          <w:sz w:val="26"/>
          <w:szCs w:val="26"/>
          <w:lang w:val="es-ES"/>
        </w:rPr>
        <w:t xml:space="preserve">hộp 3 vỉ x 10 viên (số đăng ký </w:t>
      </w:r>
      <w:r w:rsidRPr="00733C72">
        <w:rPr>
          <w:sz w:val="26"/>
          <w:szCs w:val="26"/>
        </w:rPr>
        <w:t>VN3-35-18).</w:t>
      </w:r>
    </w:p>
    <w:p w:rsidR="00CD6E5D" w:rsidRPr="00733C72" w:rsidRDefault="00CD6E5D" w:rsidP="00CD6E5D">
      <w:pPr>
        <w:widowControl w:val="0"/>
        <w:spacing w:before="120"/>
        <w:ind w:firstLine="720"/>
        <w:jc w:val="both"/>
        <w:rPr>
          <w:sz w:val="26"/>
          <w:szCs w:val="26"/>
          <w:lang w:val="es-ES"/>
        </w:rPr>
      </w:pPr>
      <w:r w:rsidRPr="00733C72">
        <w:rPr>
          <w:sz w:val="26"/>
          <w:szCs w:val="26"/>
          <w:lang w:val="es-ES"/>
        </w:rPr>
        <w:t xml:space="preserve">Thuốc sử dụng để hỗ trợ </w:t>
      </w:r>
      <w:r w:rsidR="00E504D6" w:rsidRPr="00733C72">
        <w:rPr>
          <w:sz w:val="26"/>
          <w:szCs w:val="26"/>
          <w:lang w:val="es-ES"/>
        </w:rPr>
        <w:t xml:space="preserve">là thuốc không thuộc khoản viện trợ phi chính phủ nước ngoài, </w:t>
      </w:r>
      <w:r w:rsidRPr="00733C72">
        <w:rPr>
          <w:sz w:val="26"/>
          <w:szCs w:val="26"/>
          <w:lang w:val="es-ES"/>
        </w:rPr>
        <w:t xml:space="preserve">có </w:t>
      </w:r>
      <w:r w:rsidR="00EA62C5" w:rsidRPr="00733C72">
        <w:rPr>
          <w:sz w:val="26"/>
          <w:szCs w:val="26"/>
        </w:rPr>
        <w:t>dòng chữ “Thuốc hỗ trợ</w:t>
      </w:r>
      <w:r w:rsidR="00A24F16" w:rsidRPr="00733C72">
        <w:rPr>
          <w:sz w:val="26"/>
          <w:szCs w:val="26"/>
        </w:rPr>
        <w:t xml:space="preserve"> - </w:t>
      </w:r>
      <w:r w:rsidRPr="00733C72">
        <w:rPr>
          <w:sz w:val="26"/>
          <w:szCs w:val="26"/>
        </w:rPr>
        <w:t>không</w:t>
      </w:r>
      <w:r w:rsidR="00EA62C5" w:rsidRPr="00733C72">
        <w:rPr>
          <w:sz w:val="26"/>
          <w:szCs w:val="26"/>
        </w:rPr>
        <w:t xml:space="preserve"> </w:t>
      </w:r>
      <w:r w:rsidRPr="00733C72">
        <w:rPr>
          <w:sz w:val="26"/>
          <w:szCs w:val="26"/>
        </w:rPr>
        <w:t>bán”</w:t>
      </w:r>
      <w:r w:rsidRPr="00733C72">
        <w:rPr>
          <w:sz w:val="26"/>
          <w:szCs w:val="26"/>
          <w:lang w:val="es-ES"/>
        </w:rPr>
        <w:t>.</w:t>
      </w:r>
    </w:p>
    <w:p w:rsidR="00CD6E5D" w:rsidRPr="00733C72" w:rsidRDefault="00CD6E5D" w:rsidP="00CD6E5D">
      <w:pPr>
        <w:widowControl w:val="0"/>
        <w:spacing w:before="120"/>
        <w:ind w:firstLine="720"/>
        <w:jc w:val="both"/>
        <w:rPr>
          <w:sz w:val="26"/>
          <w:szCs w:val="26"/>
          <w:lang w:val="es-ES"/>
        </w:rPr>
      </w:pPr>
      <w:r w:rsidRPr="00733C72">
        <w:rPr>
          <w:sz w:val="26"/>
          <w:szCs w:val="26"/>
          <w:lang w:val="es-ES"/>
        </w:rPr>
        <w:t>3. Hình thức hỗ trợ</w:t>
      </w:r>
    </w:p>
    <w:p w:rsidR="00CD6E5D" w:rsidRPr="00733C72" w:rsidRDefault="00CD6E5D" w:rsidP="00CD6E5D">
      <w:pPr>
        <w:widowControl w:val="0"/>
        <w:spacing w:before="120"/>
        <w:ind w:firstLine="709"/>
        <w:jc w:val="both"/>
        <w:rPr>
          <w:sz w:val="26"/>
          <w:szCs w:val="26"/>
        </w:rPr>
      </w:pPr>
      <w:bookmarkStart w:id="0" w:name="_Hlk36475834"/>
      <w:r w:rsidRPr="00733C72">
        <w:rPr>
          <w:sz w:val="26"/>
          <w:szCs w:val="26"/>
        </w:rPr>
        <w:t xml:space="preserve">Sau khi mua và điều trị 01 chu kỳ thuốc Tagrisso, </w:t>
      </w:r>
      <w:r w:rsidR="00E504D6" w:rsidRPr="00733C72">
        <w:rPr>
          <w:sz w:val="26"/>
          <w:szCs w:val="26"/>
        </w:rPr>
        <w:t>người bệnh</w:t>
      </w:r>
      <w:r w:rsidRPr="00733C72">
        <w:rPr>
          <w:sz w:val="26"/>
          <w:szCs w:val="26"/>
        </w:rPr>
        <w:t xml:space="preserve"> được hỗ trợ miễn phí 01 chu kỳ </w:t>
      </w:r>
      <w:r w:rsidRPr="00733C72">
        <w:rPr>
          <w:sz w:val="26"/>
          <w:szCs w:val="26"/>
          <w:lang w:val="vi-VN"/>
        </w:rPr>
        <w:t xml:space="preserve">bằng </w:t>
      </w:r>
      <w:r w:rsidRPr="00733C72">
        <w:rPr>
          <w:sz w:val="26"/>
          <w:szCs w:val="26"/>
        </w:rPr>
        <w:t>thuốc Tagrisso</w:t>
      </w:r>
      <w:r w:rsidR="0019674F" w:rsidRPr="00733C72">
        <w:rPr>
          <w:sz w:val="26"/>
          <w:szCs w:val="26"/>
        </w:rPr>
        <w:t xml:space="preserve"> (</w:t>
      </w:r>
      <w:r w:rsidRPr="00733C72">
        <w:rPr>
          <w:sz w:val="26"/>
          <w:szCs w:val="26"/>
        </w:rPr>
        <w:t>01 chu kỳ điều trị là 30 ngày</w:t>
      </w:r>
      <w:bookmarkEnd w:id="0"/>
      <w:r w:rsidR="0019674F" w:rsidRPr="00733C72">
        <w:rPr>
          <w:sz w:val="26"/>
          <w:szCs w:val="26"/>
        </w:rPr>
        <w:t>)</w:t>
      </w:r>
      <w:r w:rsidRPr="00733C72">
        <w:rPr>
          <w:sz w:val="26"/>
          <w:szCs w:val="26"/>
        </w:rPr>
        <w:t xml:space="preserve">. </w:t>
      </w:r>
    </w:p>
    <w:p w:rsidR="00CD6E5D" w:rsidRPr="00733C72" w:rsidRDefault="00CD6E5D" w:rsidP="00CD6E5D">
      <w:pPr>
        <w:widowControl w:val="0"/>
        <w:spacing w:before="120"/>
        <w:ind w:firstLine="720"/>
        <w:jc w:val="both"/>
        <w:rPr>
          <w:sz w:val="26"/>
          <w:szCs w:val="26"/>
          <w:lang w:val="es-ES"/>
        </w:rPr>
      </w:pPr>
      <w:r w:rsidRPr="00733C72">
        <w:rPr>
          <w:sz w:val="26"/>
          <w:szCs w:val="26"/>
          <w:lang w:val="es-ES"/>
        </w:rPr>
        <w:t>4. Phạm vi áp dụng</w:t>
      </w:r>
    </w:p>
    <w:p w:rsidR="00664052" w:rsidRPr="00733C72" w:rsidRDefault="00664052" w:rsidP="00664052">
      <w:pPr>
        <w:widowControl w:val="0"/>
        <w:spacing w:before="120"/>
        <w:ind w:firstLine="720"/>
        <w:jc w:val="both"/>
        <w:rPr>
          <w:rFonts w:cs="Arial"/>
          <w:sz w:val="26"/>
          <w:szCs w:val="26"/>
          <w:lang w:val="en"/>
        </w:rPr>
      </w:pPr>
      <w:r w:rsidRPr="00733C72">
        <w:rPr>
          <w:sz w:val="26"/>
          <w:szCs w:val="26"/>
          <w:lang w:val="es-ES"/>
        </w:rPr>
        <w:t>a) Địa điểm thực hiện</w:t>
      </w:r>
    </w:p>
    <w:p w:rsidR="00664052" w:rsidRPr="00733C72" w:rsidRDefault="00664052" w:rsidP="00664052">
      <w:pPr>
        <w:pStyle w:val="ListParagraph"/>
        <w:widowControl w:val="0"/>
        <w:spacing w:before="120"/>
        <w:ind w:left="0" w:firstLine="720"/>
        <w:contextualSpacing w:val="0"/>
        <w:jc w:val="both"/>
        <w:rPr>
          <w:spacing w:val="-4"/>
          <w:sz w:val="26"/>
          <w:szCs w:val="26"/>
          <w:lang w:val="pt-BR"/>
        </w:rPr>
      </w:pPr>
      <w:r w:rsidRPr="00733C72">
        <w:rPr>
          <w:spacing w:val="-4"/>
          <w:sz w:val="26"/>
          <w:szCs w:val="26"/>
          <w:lang w:val="pt-BR"/>
        </w:rPr>
        <w:t>Chương trình được áp dụng thực hiện tại 20 cơ sở khám bệnh, chữa bệnh sau:</w:t>
      </w:r>
    </w:p>
    <w:p w:rsidR="00664052" w:rsidRPr="00733C72" w:rsidRDefault="00664052" w:rsidP="00664052">
      <w:pPr>
        <w:widowControl w:val="0"/>
        <w:spacing w:before="120"/>
        <w:ind w:firstLine="720"/>
        <w:jc w:val="both"/>
        <w:rPr>
          <w:sz w:val="26"/>
          <w:szCs w:val="26"/>
          <w:lang w:val="en"/>
        </w:rPr>
      </w:pPr>
      <w:r w:rsidRPr="00733C72">
        <w:rPr>
          <w:sz w:val="26"/>
          <w:szCs w:val="26"/>
          <w:lang w:val="pt-BR"/>
        </w:rPr>
        <w:t>- Tại miền Bắc</w:t>
      </w:r>
      <w:r w:rsidRPr="00733C72">
        <w:rPr>
          <w:sz w:val="26"/>
          <w:szCs w:val="26"/>
        </w:rPr>
        <w:t xml:space="preserve">: </w:t>
      </w:r>
      <w:r w:rsidRPr="00733C72">
        <w:rPr>
          <w:sz w:val="26"/>
          <w:szCs w:val="26"/>
          <w:lang w:val="en"/>
        </w:rPr>
        <w:t xml:space="preserve">Bệnh viện K, Bệnh viện Bạch Mai, Bệnh viện Phổi Trung ương; Bệnh viện Ung bướu Hà Nội; Bệnh viện Hữu Nghị; </w:t>
      </w:r>
      <w:r w:rsidRPr="00733C72">
        <w:rPr>
          <w:sz w:val="26"/>
          <w:szCs w:val="26"/>
        </w:rPr>
        <w:t xml:space="preserve">Bệnh viện Trung ương Quân đội 108; </w:t>
      </w:r>
      <w:r w:rsidRPr="00733C72">
        <w:rPr>
          <w:sz w:val="26"/>
          <w:szCs w:val="26"/>
          <w:shd w:val="clear" w:color="auto" w:fill="FFFFFF"/>
        </w:rPr>
        <w:t xml:space="preserve">Bệnh viện Đa khoa Quốc tế Vinmec Times City; </w:t>
      </w:r>
      <w:r w:rsidRPr="00733C72">
        <w:rPr>
          <w:sz w:val="26"/>
          <w:szCs w:val="26"/>
          <w:lang w:val="en"/>
        </w:rPr>
        <w:t>Bệnh viện Hữu nghị Việt Tiệp (thành phố Hải Phòng).</w:t>
      </w:r>
    </w:p>
    <w:p w:rsidR="00664052" w:rsidRPr="00733C72" w:rsidRDefault="00664052" w:rsidP="00664052">
      <w:pPr>
        <w:pStyle w:val="ListParagraph"/>
        <w:widowControl w:val="0"/>
        <w:spacing w:before="120"/>
        <w:ind w:left="0" w:firstLine="720"/>
        <w:contextualSpacing w:val="0"/>
        <w:jc w:val="both"/>
        <w:rPr>
          <w:rFonts w:eastAsia="Times New Roman"/>
          <w:sz w:val="26"/>
          <w:szCs w:val="26"/>
          <w:lang w:val="en"/>
        </w:rPr>
      </w:pPr>
      <w:r w:rsidRPr="00733C72">
        <w:rPr>
          <w:sz w:val="26"/>
          <w:szCs w:val="26"/>
        </w:rPr>
        <w:t xml:space="preserve">- Tại miền Nam: </w:t>
      </w:r>
      <w:r w:rsidRPr="00733C72">
        <w:rPr>
          <w:rFonts w:eastAsia="Times New Roman"/>
          <w:sz w:val="26"/>
          <w:szCs w:val="26"/>
          <w:lang w:val="en"/>
        </w:rPr>
        <w:t xml:space="preserve">Bệnh viện Chợ Rẫy, Bệnh viện Ung bướu thành phố Hồ Chí Minh, Bệnh viện Thống Nhất, </w:t>
      </w:r>
      <w:r w:rsidRPr="00733C72">
        <w:rPr>
          <w:sz w:val="26"/>
          <w:szCs w:val="26"/>
          <w:shd w:val="clear" w:color="auto" w:fill="FFFFFF"/>
        </w:rPr>
        <w:t xml:space="preserve">Bệnh viện Đa khoa Quốc tế Vinmec Central Park, </w:t>
      </w:r>
      <w:r w:rsidRPr="00733C72">
        <w:rPr>
          <w:rFonts w:eastAsia="Times New Roman"/>
          <w:sz w:val="26"/>
          <w:szCs w:val="26"/>
          <w:lang w:val="en"/>
        </w:rPr>
        <w:t>Bệnh viện FV, Bệnh viện quận Thủ Đức (thành phố Hồ Chí Minh), Bệnh viện Quân Y 175, Bệnh viện Đại học Y Dược thành phố Hồ Chí Minh, Bệnh viện Ung bướu thành phố Cần Thơ.</w:t>
      </w:r>
    </w:p>
    <w:p w:rsidR="00664052" w:rsidRPr="00733C72" w:rsidRDefault="00664052" w:rsidP="00664052">
      <w:pPr>
        <w:pStyle w:val="ListParagraph"/>
        <w:widowControl w:val="0"/>
        <w:spacing w:before="120"/>
        <w:ind w:left="0" w:firstLine="720"/>
        <w:contextualSpacing w:val="0"/>
        <w:jc w:val="both"/>
        <w:rPr>
          <w:rFonts w:eastAsia="Times New Roman"/>
          <w:sz w:val="26"/>
          <w:szCs w:val="26"/>
          <w:lang w:val="en"/>
        </w:rPr>
      </w:pPr>
      <w:r w:rsidRPr="00733C72">
        <w:rPr>
          <w:sz w:val="26"/>
          <w:szCs w:val="26"/>
        </w:rPr>
        <w:t>- Tạ</w:t>
      </w:r>
      <w:r w:rsidR="00730C14">
        <w:rPr>
          <w:sz w:val="26"/>
          <w:szCs w:val="26"/>
        </w:rPr>
        <w:t>i m</w:t>
      </w:r>
      <w:r w:rsidRPr="00733C72">
        <w:rPr>
          <w:sz w:val="26"/>
          <w:szCs w:val="26"/>
        </w:rPr>
        <w:t xml:space="preserve">iền Trung: </w:t>
      </w:r>
      <w:r w:rsidRPr="00733C72">
        <w:rPr>
          <w:rFonts w:eastAsia="Times New Roman"/>
          <w:sz w:val="26"/>
          <w:szCs w:val="26"/>
          <w:lang w:val="en"/>
        </w:rPr>
        <w:t>Bệnh viện</w:t>
      </w:r>
      <w:r w:rsidR="00730C14">
        <w:rPr>
          <w:rFonts w:eastAsia="Times New Roman"/>
          <w:sz w:val="26"/>
          <w:szCs w:val="26"/>
          <w:lang w:val="en"/>
        </w:rPr>
        <w:t xml:space="preserve"> đa khoa</w:t>
      </w:r>
      <w:r w:rsidRPr="00733C72">
        <w:rPr>
          <w:rFonts w:eastAsia="Times New Roman"/>
          <w:sz w:val="26"/>
          <w:szCs w:val="26"/>
          <w:lang w:val="en"/>
        </w:rPr>
        <w:t xml:space="preserve"> Trung ương Huế; Bệnh viện Ung bướu Đà Nẵng, Bệnh viện Ung bướu Nghệ An.</w:t>
      </w:r>
    </w:p>
    <w:p w:rsidR="00664052" w:rsidRPr="00733C72" w:rsidRDefault="00664052" w:rsidP="00664052">
      <w:pPr>
        <w:widowControl w:val="0"/>
        <w:spacing w:before="120"/>
        <w:ind w:firstLine="720"/>
        <w:jc w:val="both"/>
        <w:rPr>
          <w:sz w:val="26"/>
          <w:szCs w:val="26"/>
          <w:lang w:val="es-ES"/>
        </w:rPr>
      </w:pPr>
      <w:r w:rsidRPr="00733C72">
        <w:rPr>
          <w:sz w:val="26"/>
          <w:szCs w:val="26"/>
          <w:lang w:val="es-ES"/>
        </w:rPr>
        <w:t>b) Thời gian thực hiện</w:t>
      </w:r>
    </w:p>
    <w:p w:rsidR="00664052" w:rsidRPr="00733C72" w:rsidRDefault="00664052" w:rsidP="00664052">
      <w:pPr>
        <w:pStyle w:val="ListParagraph"/>
        <w:widowControl w:val="0"/>
        <w:spacing w:before="120"/>
        <w:ind w:left="0" w:firstLine="720"/>
        <w:contextualSpacing w:val="0"/>
        <w:jc w:val="both"/>
        <w:rPr>
          <w:sz w:val="26"/>
          <w:szCs w:val="26"/>
        </w:rPr>
      </w:pPr>
      <w:r w:rsidRPr="00733C72">
        <w:rPr>
          <w:sz w:val="26"/>
          <w:szCs w:val="26"/>
          <w:lang w:val="pt-BR"/>
        </w:rPr>
        <w:t xml:space="preserve">- Thời gian </w:t>
      </w:r>
      <w:r w:rsidRPr="00733C72">
        <w:rPr>
          <w:sz w:val="26"/>
          <w:szCs w:val="26"/>
        </w:rPr>
        <w:t>tiếp nhận người bệnh tham gia Chương trình:</w:t>
      </w:r>
    </w:p>
    <w:p w:rsidR="00664052" w:rsidRPr="00733C72" w:rsidRDefault="00664052" w:rsidP="00664052">
      <w:pPr>
        <w:pStyle w:val="ListParagraph"/>
        <w:widowControl w:val="0"/>
        <w:spacing w:before="120"/>
        <w:ind w:left="0" w:firstLine="720"/>
        <w:contextualSpacing w:val="0"/>
        <w:jc w:val="both"/>
        <w:rPr>
          <w:rFonts w:eastAsia="Times New Roman"/>
          <w:sz w:val="26"/>
          <w:szCs w:val="26"/>
          <w:lang w:val="en"/>
        </w:rPr>
      </w:pPr>
      <w:r w:rsidRPr="00733C72">
        <w:rPr>
          <w:sz w:val="26"/>
          <w:szCs w:val="26"/>
        </w:rPr>
        <w:t xml:space="preserve">+ </w:t>
      </w:r>
      <w:r w:rsidRPr="00733C72">
        <w:rPr>
          <w:sz w:val="26"/>
          <w:szCs w:val="26"/>
          <w:lang w:val="pt-BR"/>
        </w:rPr>
        <w:t xml:space="preserve">Đối với </w:t>
      </w:r>
      <w:r w:rsidRPr="00733C72">
        <w:rPr>
          <w:rFonts w:eastAsia="Times New Roman"/>
          <w:sz w:val="26"/>
          <w:szCs w:val="26"/>
          <w:lang w:val="en"/>
        </w:rPr>
        <w:t xml:space="preserve">Bệnh viện Quân Y 175, Bệnh viện Đại học Y Dược thành phố Hồ Chí Minh, Bệnh viện Ung bướu thành phố Cần Thơ, Bệnh viện Ung bướu Nghệ An:  </w:t>
      </w:r>
      <w:r w:rsidRPr="00733C72">
        <w:rPr>
          <w:sz w:val="26"/>
          <w:szCs w:val="26"/>
        </w:rPr>
        <w:t xml:space="preserve">18 tháng kể từ ngày ký Hợp đồng giữa </w:t>
      </w:r>
      <w:r w:rsidRPr="00733C72">
        <w:rPr>
          <w:sz w:val="26"/>
          <w:szCs w:val="26"/>
          <w:lang w:val="es-ES"/>
        </w:rPr>
        <w:t>Công ty cổ phần Dược liệu Trung ương 2 và cơ sở khám bệnh, chữa bệnh theo Quyết định này.</w:t>
      </w:r>
    </w:p>
    <w:p w:rsidR="00AF739C" w:rsidRPr="00733C72" w:rsidRDefault="00664052" w:rsidP="00363B9C">
      <w:pPr>
        <w:widowControl w:val="0"/>
        <w:spacing w:before="120"/>
        <w:ind w:firstLine="720"/>
        <w:jc w:val="both"/>
        <w:rPr>
          <w:sz w:val="26"/>
          <w:szCs w:val="26"/>
          <w:lang w:val="es-ES"/>
        </w:rPr>
      </w:pPr>
      <w:r w:rsidRPr="00733C72">
        <w:rPr>
          <w:sz w:val="26"/>
          <w:szCs w:val="26"/>
          <w:lang w:val="pt-BR"/>
        </w:rPr>
        <w:t xml:space="preserve">+ Đối với </w:t>
      </w:r>
      <w:r w:rsidR="00363B9C" w:rsidRPr="00733C72">
        <w:rPr>
          <w:sz w:val="26"/>
          <w:szCs w:val="26"/>
          <w:lang w:val="pt-BR"/>
        </w:rPr>
        <w:t xml:space="preserve">16 cơ sở khám bệnh, chữa bệnh </w:t>
      </w:r>
      <w:r w:rsidRPr="00733C72">
        <w:rPr>
          <w:sz w:val="26"/>
          <w:szCs w:val="26"/>
          <w:lang w:val="pt-BR"/>
        </w:rPr>
        <w:t xml:space="preserve">còn lại: </w:t>
      </w:r>
      <w:r w:rsidR="00363B9C" w:rsidRPr="00733C72">
        <w:rPr>
          <w:sz w:val="26"/>
          <w:szCs w:val="26"/>
          <w:lang w:val="es-ES"/>
        </w:rPr>
        <w:t xml:space="preserve">18 tháng kể từ ngày ký </w:t>
      </w:r>
      <w:r w:rsidRPr="00733C72">
        <w:rPr>
          <w:sz w:val="26"/>
          <w:szCs w:val="26"/>
        </w:rPr>
        <w:t xml:space="preserve">Hợp đồng giữa </w:t>
      </w:r>
      <w:r w:rsidRPr="00733C72">
        <w:rPr>
          <w:sz w:val="26"/>
          <w:szCs w:val="26"/>
          <w:lang w:val="es-ES"/>
        </w:rPr>
        <w:t xml:space="preserve">Công ty cổ phần Dược liệu Trung ương 2 và cơ sở khám bệnh, chữa bệnh </w:t>
      </w:r>
      <w:r w:rsidR="00363B9C" w:rsidRPr="00733C72">
        <w:rPr>
          <w:sz w:val="26"/>
          <w:szCs w:val="26"/>
          <w:lang w:val="es-ES"/>
        </w:rPr>
        <w:t>theo Quyết định số 1761/QĐ-BYT ngày 17/4/2020</w:t>
      </w:r>
      <w:r w:rsidRPr="00733C72">
        <w:rPr>
          <w:sz w:val="26"/>
          <w:szCs w:val="26"/>
          <w:lang w:val="es-ES"/>
        </w:rPr>
        <w:t xml:space="preserve"> của Bộ Y tế.</w:t>
      </w:r>
    </w:p>
    <w:p w:rsidR="00363B9C" w:rsidRPr="00733C72" w:rsidRDefault="00AF739C" w:rsidP="00363B9C">
      <w:pPr>
        <w:widowControl w:val="0"/>
        <w:spacing w:before="120"/>
        <w:ind w:firstLine="720"/>
        <w:jc w:val="both"/>
        <w:rPr>
          <w:sz w:val="26"/>
          <w:szCs w:val="26"/>
          <w:lang w:val="pt-BR"/>
        </w:rPr>
      </w:pPr>
      <w:r w:rsidRPr="00733C72">
        <w:rPr>
          <w:sz w:val="26"/>
          <w:szCs w:val="26"/>
          <w:lang w:val="es-ES"/>
        </w:rPr>
        <w:t xml:space="preserve">- </w:t>
      </w:r>
      <w:r w:rsidR="00664052" w:rsidRPr="00733C72">
        <w:rPr>
          <w:sz w:val="26"/>
          <w:szCs w:val="26"/>
          <w:lang w:val="pt-BR"/>
        </w:rPr>
        <w:t>Người bệnh</w:t>
      </w:r>
      <w:r w:rsidR="00664052" w:rsidRPr="00733C72">
        <w:rPr>
          <w:sz w:val="26"/>
          <w:szCs w:val="26"/>
        </w:rPr>
        <w:t xml:space="preserve"> tham gia Chương trình được hỗ trợ thuốc Tagrisso miễn phí một phần cho đến khi ngưng điều trị theo chỉ định của bác sỹ hoặc tự quyết định dừng tham gia Chương trình.</w:t>
      </w:r>
    </w:p>
    <w:p w:rsidR="00CD6E5D" w:rsidRPr="00733C72" w:rsidRDefault="00CD6E5D" w:rsidP="00CD6E5D">
      <w:pPr>
        <w:widowControl w:val="0"/>
        <w:spacing w:before="120"/>
        <w:ind w:firstLine="720"/>
        <w:jc w:val="both"/>
        <w:rPr>
          <w:sz w:val="26"/>
          <w:szCs w:val="26"/>
          <w:lang w:val="es-ES"/>
        </w:rPr>
      </w:pPr>
      <w:r w:rsidRPr="00733C72">
        <w:rPr>
          <w:sz w:val="26"/>
          <w:szCs w:val="26"/>
          <w:lang w:val="es-ES"/>
        </w:rPr>
        <w:t>5. Đối tượng áp dụng</w:t>
      </w:r>
    </w:p>
    <w:p w:rsidR="00CD6E5D" w:rsidRPr="00733C72" w:rsidRDefault="00CD6E5D" w:rsidP="00CD6E5D">
      <w:pPr>
        <w:widowControl w:val="0"/>
        <w:tabs>
          <w:tab w:val="left" w:pos="142"/>
          <w:tab w:val="left" w:pos="851"/>
        </w:tabs>
        <w:spacing w:before="120"/>
        <w:ind w:firstLine="709"/>
        <w:jc w:val="both"/>
        <w:rPr>
          <w:sz w:val="26"/>
          <w:szCs w:val="26"/>
          <w:lang w:val="es-ES"/>
        </w:rPr>
      </w:pPr>
      <w:r w:rsidRPr="00733C72">
        <w:rPr>
          <w:sz w:val="26"/>
          <w:szCs w:val="26"/>
          <w:lang w:val="es-ES"/>
        </w:rPr>
        <w:t>a) Đối tượng người bệnh</w:t>
      </w:r>
    </w:p>
    <w:p w:rsidR="00CD6E5D" w:rsidRPr="00733C72" w:rsidRDefault="00CD6E5D" w:rsidP="00CD6E5D">
      <w:pPr>
        <w:pStyle w:val="ListParagraph"/>
        <w:widowControl w:val="0"/>
        <w:tabs>
          <w:tab w:val="left" w:pos="142"/>
          <w:tab w:val="left" w:pos="284"/>
          <w:tab w:val="left" w:pos="993"/>
        </w:tabs>
        <w:spacing w:before="120"/>
        <w:ind w:left="0" w:firstLine="709"/>
        <w:contextualSpacing w:val="0"/>
        <w:jc w:val="both"/>
        <w:rPr>
          <w:sz w:val="26"/>
          <w:szCs w:val="26"/>
        </w:rPr>
      </w:pPr>
      <w:r w:rsidRPr="00733C72">
        <w:rPr>
          <w:spacing w:val="-2"/>
          <w:sz w:val="26"/>
          <w:szCs w:val="26"/>
        </w:rPr>
        <w:t xml:space="preserve">Chương trình áp dụng cho bệnh nhân từ 18 tuổi trở lên, có hoặc không có tham </w:t>
      </w:r>
      <w:r w:rsidRPr="00733C72">
        <w:rPr>
          <w:spacing w:val="-2"/>
          <w:sz w:val="26"/>
          <w:szCs w:val="26"/>
        </w:rPr>
        <w:lastRenderedPageBreak/>
        <w:t>gia bảo hiểm y tế, được chẩn đoán xác định ung thư phổi không tế bào nhỏ giai đoạn tiến triển tại chỗ hoặc di căn có đột biến EGFR hoặc EGFR T790M dương tính (bao gồm cả bệnh nhân đang trong quá trình điều trị hoặc mới chẩn đoán chưa được điều trị)</w:t>
      </w:r>
      <w:r w:rsidRPr="00733C72">
        <w:rPr>
          <w:sz w:val="26"/>
          <w:szCs w:val="26"/>
        </w:rPr>
        <w:t xml:space="preserve">. </w:t>
      </w:r>
    </w:p>
    <w:p w:rsidR="00CD6E5D" w:rsidRPr="00733C72" w:rsidRDefault="00CD6E5D" w:rsidP="00CD6E5D">
      <w:pPr>
        <w:widowControl w:val="0"/>
        <w:tabs>
          <w:tab w:val="left" w:pos="142"/>
          <w:tab w:val="left" w:pos="851"/>
        </w:tabs>
        <w:spacing w:before="120"/>
        <w:ind w:firstLine="709"/>
        <w:jc w:val="both"/>
        <w:rPr>
          <w:sz w:val="26"/>
          <w:szCs w:val="26"/>
          <w:lang w:val="es-ES"/>
        </w:rPr>
      </w:pPr>
      <w:r w:rsidRPr="00733C72">
        <w:rPr>
          <w:sz w:val="26"/>
          <w:szCs w:val="26"/>
          <w:lang w:val="es-ES"/>
        </w:rPr>
        <w:t>b) Chỉ định áp dụng</w:t>
      </w:r>
    </w:p>
    <w:p w:rsidR="00CD6E5D" w:rsidRPr="00733C72" w:rsidRDefault="00CD6E5D" w:rsidP="00CD6E5D">
      <w:pPr>
        <w:widowControl w:val="0"/>
        <w:tabs>
          <w:tab w:val="left" w:pos="142"/>
          <w:tab w:val="left" w:pos="851"/>
        </w:tabs>
        <w:spacing w:before="60" w:after="60"/>
        <w:ind w:firstLine="709"/>
        <w:jc w:val="both"/>
        <w:rPr>
          <w:sz w:val="26"/>
          <w:szCs w:val="26"/>
        </w:rPr>
      </w:pPr>
      <w:r w:rsidRPr="00733C72">
        <w:rPr>
          <w:sz w:val="26"/>
          <w:szCs w:val="26"/>
        </w:rPr>
        <w:t>- Điều trị bước 1 ở bệnh nhân trưởng thành ung thư phổi loại không tế bào nhỏ (NSCLC) giai đoạn tiến triển tại chỗ hoặc di căn có đột biến hoạt hóa thụ thể yếu tố phát triển biểu bì (EGFR)</w:t>
      </w:r>
    </w:p>
    <w:p w:rsidR="00CD6E5D" w:rsidRPr="00733C72" w:rsidRDefault="00CD6E5D" w:rsidP="00CD6E5D">
      <w:pPr>
        <w:widowControl w:val="0"/>
        <w:tabs>
          <w:tab w:val="left" w:pos="142"/>
          <w:tab w:val="left" w:pos="851"/>
        </w:tabs>
        <w:spacing w:before="60" w:after="60"/>
        <w:ind w:firstLine="709"/>
        <w:jc w:val="both"/>
        <w:rPr>
          <w:spacing w:val="-4"/>
          <w:sz w:val="26"/>
          <w:szCs w:val="26"/>
        </w:rPr>
      </w:pPr>
      <w:r w:rsidRPr="00733C72">
        <w:rPr>
          <w:spacing w:val="-4"/>
          <w:sz w:val="26"/>
          <w:szCs w:val="26"/>
        </w:rPr>
        <w:t>- Đ</w:t>
      </w:r>
      <w:r w:rsidRPr="00733C72">
        <w:rPr>
          <w:rFonts w:eastAsia="Calibri"/>
          <w:spacing w:val="-4"/>
          <w:sz w:val="26"/>
          <w:szCs w:val="26"/>
        </w:rPr>
        <w:t>iều</w:t>
      </w:r>
      <w:r w:rsidRPr="00733C72">
        <w:rPr>
          <w:spacing w:val="-4"/>
          <w:sz w:val="26"/>
          <w:szCs w:val="26"/>
        </w:rPr>
        <w:t xml:space="preserve"> trị bệnh nhân trưởng thành ung thư phổi loại không tế bào nhỏ (NSCLC) giai đoạn tiến triển tại chỗ hoặc di căn có đột biến EGFR T790M dương tính.</w:t>
      </w:r>
    </w:p>
    <w:p w:rsidR="00CD6E5D" w:rsidRPr="00733C72" w:rsidRDefault="00CD6E5D" w:rsidP="00CD6E5D">
      <w:pPr>
        <w:widowControl w:val="0"/>
        <w:spacing w:before="120"/>
        <w:ind w:firstLine="720"/>
        <w:jc w:val="both"/>
        <w:rPr>
          <w:b/>
          <w:sz w:val="26"/>
          <w:szCs w:val="26"/>
          <w:lang w:val="es-ES"/>
        </w:rPr>
      </w:pPr>
      <w:r w:rsidRPr="00733C72">
        <w:rPr>
          <w:b/>
          <w:sz w:val="26"/>
          <w:szCs w:val="26"/>
          <w:lang w:val="es-ES"/>
        </w:rPr>
        <w:t xml:space="preserve">Điều 2. </w:t>
      </w:r>
      <w:r w:rsidR="003154D1" w:rsidRPr="00733C72">
        <w:rPr>
          <w:sz w:val="26"/>
          <w:szCs w:val="26"/>
          <w:lang w:val="es-ES"/>
        </w:rPr>
        <w:t>Tổ chức thực hiện</w:t>
      </w:r>
    </w:p>
    <w:p w:rsidR="00CD6E5D" w:rsidRPr="00733C72" w:rsidRDefault="00CD6E5D" w:rsidP="00CD6E5D">
      <w:pPr>
        <w:widowControl w:val="0"/>
        <w:spacing w:before="120"/>
        <w:ind w:firstLine="720"/>
        <w:jc w:val="both"/>
        <w:rPr>
          <w:rStyle w:val="st1"/>
          <w:bCs/>
          <w:kern w:val="2"/>
          <w:sz w:val="26"/>
          <w:szCs w:val="26"/>
          <w:lang w:val="es-ES_tradnl"/>
        </w:rPr>
      </w:pPr>
      <w:r w:rsidRPr="00733C72">
        <w:rPr>
          <w:sz w:val="26"/>
          <w:szCs w:val="26"/>
          <w:lang w:val="es-ES"/>
        </w:rPr>
        <w:t xml:space="preserve">1. Công ty cổ phần Dược liệu Trung ương 2, </w:t>
      </w:r>
      <w:r w:rsidR="00005296" w:rsidRPr="00733C72">
        <w:rPr>
          <w:sz w:val="26"/>
          <w:szCs w:val="26"/>
          <w:lang w:val="es-ES"/>
        </w:rPr>
        <w:t>20</w:t>
      </w:r>
      <w:r w:rsidRPr="00733C72">
        <w:rPr>
          <w:sz w:val="26"/>
          <w:szCs w:val="26"/>
          <w:lang w:val="es-ES"/>
        </w:rPr>
        <w:t xml:space="preserve"> cơ sở khám bệnh, chữa bệnh quy định tại Điểm </w:t>
      </w:r>
      <w:r w:rsidR="00733C72" w:rsidRPr="00733C72">
        <w:rPr>
          <w:sz w:val="26"/>
          <w:szCs w:val="26"/>
          <w:lang w:val="es-ES"/>
        </w:rPr>
        <w:t>a</w:t>
      </w:r>
      <w:r w:rsidRPr="00733C72">
        <w:rPr>
          <w:sz w:val="26"/>
          <w:szCs w:val="26"/>
          <w:lang w:val="es-ES"/>
        </w:rPr>
        <w:t xml:space="preserve"> Khoản 4 Điều 1 Quyết định này và các đơn vị liên quan có trách nhiệm triển khai thực hiện Chương trình theo đúng quy định của </w:t>
      </w:r>
      <w:r w:rsidRPr="00733C72">
        <w:rPr>
          <w:rStyle w:val="st1"/>
          <w:bCs/>
          <w:kern w:val="2"/>
          <w:sz w:val="26"/>
          <w:szCs w:val="26"/>
          <w:lang w:val="es-ES_tradnl"/>
        </w:rPr>
        <w:t>Thông tư số 31/2018/TT-BYT ngày 30/10/2018 của Bộ Y tế, quy định về đấu thầu, cung ứng thuốc và các văn bản quy phạm pháp luật hiện hành</w:t>
      </w:r>
      <w:r w:rsidR="002B6A87" w:rsidRPr="00733C72">
        <w:rPr>
          <w:rStyle w:val="st1"/>
          <w:bCs/>
          <w:kern w:val="2"/>
          <w:sz w:val="26"/>
          <w:szCs w:val="26"/>
          <w:lang w:val="es-ES_tradnl"/>
        </w:rPr>
        <w:t>;</w:t>
      </w:r>
      <w:r w:rsidR="003154D1" w:rsidRPr="00733C72">
        <w:rPr>
          <w:color w:val="FF0000"/>
          <w:sz w:val="26"/>
          <w:szCs w:val="26"/>
          <w:lang w:val="es-ES"/>
        </w:rPr>
        <w:t xml:space="preserve"> </w:t>
      </w:r>
    </w:p>
    <w:p w:rsidR="00CD6E5D" w:rsidRPr="00733C72" w:rsidRDefault="00CD6E5D" w:rsidP="00EF0FF1">
      <w:pPr>
        <w:widowControl w:val="0"/>
        <w:spacing w:before="120"/>
        <w:ind w:firstLine="720"/>
        <w:jc w:val="both"/>
        <w:rPr>
          <w:color w:val="FF0000"/>
          <w:sz w:val="26"/>
          <w:szCs w:val="26"/>
          <w:lang w:val="pt-BR"/>
        </w:rPr>
      </w:pPr>
      <w:r w:rsidRPr="00733C72">
        <w:rPr>
          <w:rStyle w:val="st1"/>
          <w:bCs/>
          <w:kern w:val="2"/>
          <w:sz w:val="26"/>
          <w:szCs w:val="26"/>
          <w:lang w:val="es-ES_tradnl"/>
        </w:rPr>
        <w:t xml:space="preserve">2. </w:t>
      </w:r>
      <w:r w:rsidRPr="00733C72">
        <w:rPr>
          <w:sz w:val="26"/>
          <w:szCs w:val="26"/>
          <w:lang w:val="es-ES"/>
        </w:rPr>
        <w:t xml:space="preserve">Công ty cổ phần Dược liệu Trung ương 2 </w:t>
      </w:r>
      <w:r w:rsidR="00CB0FD7" w:rsidRPr="00733C72">
        <w:rPr>
          <w:sz w:val="26"/>
          <w:szCs w:val="26"/>
          <w:lang w:val="es-ES"/>
        </w:rPr>
        <w:t xml:space="preserve">không điều chỉnh tăng giá thuốc </w:t>
      </w:r>
      <w:r w:rsidR="00CB0FD7" w:rsidRPr="00733C72">
        <w:rPr>
          <w:sz w:val="26"/>
          <w:szCs w:val="26"/>
          <w:lang w:val="pt-BR"/>
        </w:rPr>
        <w:t>Tagrisso trong thời gian thực hiện Chương trình</w:t>
      </w:r>
      <w:r w:rsidR="002B6A87" w:rsidRPr="00733C72">
        <w:rPr>
          <w:color w:val="FF0000"/>
          <w:sz w:val="26"/>
          <w:szCs w:val="26"/>
          <w:lang w:val="pt-BR"/>
        </w:rPr>
        <w:t>.</w:t>
      </w:r>
    </w:p>
    <w:p w:rsidR="00EF0FF1" w:rsidRPr="00733C72" w:rsidRDefault="00EF0FF1" w:rsidP="00EF0FF1">
      <w:pPr>
        <w:widowControl w:val="0"/>
        <w:spacing w:before="120"/>
        <w:ind w:firstLine="720"/>
        <w:jc w:val="both"/>
        <w:rPr>
          <w:sz w:val="26"/>
          <w:szCs w:val="26"/>
          <w:lang w:val="pt-BR"/>
        </w:rPr>
      </w:pPr>
      <w:r w:rsidRPr="00733C72">
        <w:rPr>
          <w:sz w:val="26"/>
          <w:szCs w:val="26"/>
          <w:lang w:val="pt-BR"/>
        </w:rPr>
        <w:t xml:space="preserve">3. 16 cơ sở khám bệnh, chữa bệnh đã tham gia Chương trình theo </w:t>
      </w:r>
      <w:r w:rsidRPr="00733C72">
        <w:rPr>
          <w:sz w:val="26"/>
          <w:szCs w:val="26"/>
          <w:lang w:val="es-ES"/>
        </w:rPr>
        <w:t xml:space="preserve">Quyết định số 1761/QĐ-BYT ngày 17/4/2020 của Bộ Y tế tiếp tục triển khai Chương trình theo hợp đồng đã ký với Công ty </w:t>
      </w:r>
      <w:r w:rsidR="00DE6D62" w:rsidRPr="00733C72">
        <w:rPr>
          <w:sz w:val="26"/>
          <w:szCs w:val="26"/>
          <w:lang w:val="es-ES"/>
        </w:rPr>
        <w:t xml:space="preserve">cổ phần Dược liệu Trung ương 2 </w:t>
      </w:r>
      <w:r w:rsidRPr="00733C72">
        <w:rPr>
          <w:sz w:val="26"/>
          <w:szCs w:val="26"/>
          <w:lang w:val="es-ES"/>
        </w:rPr>
        <w:t xml:space="preserve">cho đến khi ký </w:t>
      </w:r>
      <w:r w:rsidR="00855049" w:rsidRPr="00733C72">
        <w:rPr>
          <w:sz w:val="26"/>
          <w:szCs w:val="26"/>
          <w:lang w:val="es-ES"/>
        </w:rPr>
        <w:t xml:space="preserve">hợp đồng thay thế hoặc </w:t>
      </w:r>
      <w:r w:rsidR="004E49CB" w:rsidRPr="00733C72">
        <w:rPr>
          <w:sz w:val="26"/>
          <w:szCs w:val="26"/>
          <w:lang w:val="es-ES"/>
        </w:rPr>
        <w:t xml:space="preserve">bổ sung </w:t>
      </w:r>
      <w:r w:rsidR="00855049" w:rsidRPr="00733C72">
        <w:rPr>
          <w:sz w:val="26"/>
          <w:szCs w:val="26"/>
          <w:lang w:val="es-ES"/>
        </w:rPr>
        <w:t>phụ lục</w:t>
      </w:r>
      <w:r w:rsidR="004E49CB" w:rsidRPr="00733C72">
        <w:rPr>
          <w:sz w:val="26"/>
          <w:szCs w:val="26"/>
          <w:lang w:val="es-ES"/>
        </w:rPr>
        <w:t xml:space="preserve"> Hợp đồng</w:t>
      </w:r>
      <w:r w:rsidRPr="00733C72">
        <w:rPr>
          <w:sz w:val="26"/>
          <w:szCs w:val="26"/>
          <w:lang w:val="es-ES"/>
        </w:rPr>
        <w:t>.</w:t>
      </w:r>
    </w:p>
    <w:p w:rsidR="007E3036" w:rsidRPr="00733C72" w:rsidRDefault="00CD6E5D" w:rsidP="00CD6E5D">
      <w:pPr>
        <w:widowControl w:val="0"/>
        <w:spacing w:before="120"/>
        <w:ind w:firstLine="720"/>
        <w:jc w:val="both"/>
        <w:rPr>
          <w:sz w:val="26"/>
          <w:szCs w:val="26"/>
          <w:lang w:val="es-ES"/>
        </w:rPr>
      </w:pPr>
      <w:r w:rsidRPr="00733C72">
        <w:rPr>
          <w:b/>
          <w:sz w:val="26"/>
          <w:szCs w:val="26"/>
          <w:lang w:val="es-ES"/>
        </w:rPr>
        <w:t>Điều 3.</w:t>
      </w:r>
      <w:r w:rsidRPr="00733C72">
        <w:rPr>
          <w:sz w:val="26"/>
          <w:szCs w:val="26"/>
          <w:lang w:val="es-ES"/>
        </w:rPr>
        <w:t xml:space="preserve"> </w:t>
      </w:r>
      <w:r w:rsidR="007E3036" w:rsidRPr="00733C72">
        <w:rPr>
          <w:sz w:val="26"/>
          <w:szCs w:val="26"/>
          <w:lang w:val="es-ES"/>
        </w:rPr>
        <w:t>Hiệu lực thi hành</w:t>
      </w:r>
    </w:p>
    <w:p w:rsidR="00CD6E5D" w:rsidRPr="00733C72" w:rsidRDefault="00CD6E5D" w:rsidP="007E3036">
      <w:pPr>
        <w:pStyle w:val="ListParagraph"/>
        <w:widowControl w:val="0"/>
        <w:numPr>
          <w:ilvl w:val="0"/>
          <w:numId w:val="3"/>
        </w:numPr>
        <w:spacing w:before="120"/>
        <w:ind w:left="993" w:hanging="273"/>
        <w:contextualSpacing w:val="0"/>
        <w:jc w:val="both"/>
        <w:rPr>
          <w:sz w:val="26"/>
          <w:szCs w:val="26"/>
          <w:lang w:val="es-ES"/>
        </w:rPr>
      </w:pPr>
      <w:r w:rsidRPr="00733C72">
        <w:rPr>
          <w:sz w:val="26"/>
          <w:szCs w:val="26"/>
          <w:lang w:val="es-ES"/>
        </w:rPr>
        <w:t>Quyết định này có hiệu lực kể từ ngày ký, ban hành.</w:t>
      </w:r>
      <w:r w:rsidR="006B3F21" w:rsidRPr="00733C72">
        <w:rPr>
          <w:sz w:val="26"/>
          <w:szCs w:val="26"/>
          <w:lang w:val="es-ES"/>
        </w:rPr>
        <w:t xml:space="preserve"> </w:t>
      </w:r>
    </w:p>
    <w:p w:rsidR="007E3036" w:rsidRPr="00733C72" w:rsidRDefault="007E3036" w:rsidP="007E3036">
      <w:pPr>
        <w:pStyle w:val="ListParagraph"/>
        <w:numPr>
          <w:ilvl w:val="0"/>
          <w:numId w:val="3"/>
        </w:numPr>
        <w:tabs>
          <w:tab w:val="left" w:pos="0"/>
          <w:tab w:val="left" w:pos="993"/>
        </w:tabs>
        <w:spacing w:before="120"/>
        <w:ind w:left="142" w:firstLine="578"/>
        <w:contextualSpacing w:val="0"/>
        <w:jc w:val="both"/>
        <w:rPr>
          <w:rFonts w:eastAsia="Calibri"/>
          <w:b/>
          <w:sz w:val="26"/>
          <w:szCs w:val="26"/>
        </w:rPr>
      </w:pPr>
      <w:r w:rsidRPr="00733C72">
        <w:rPr>
          <w:sz w:val="26"/>
          <w:szCs w:val="26"/>
          <w:lang w:val="es-ES"/>
        </w:rPr>
        <w:t xml:space="preserve">Bãi bỏ Quyết định số 1761/QĐ-BYT ngày 17/4/2020 phê duyệt </w:t>
      </w:r>
      <w:r w:rsidRPr="00733C72">
        <w:rPr>
          <w:sz w:val="26"/>
          <w:szCs w:val="26"/>
        </w:rPr>
        <w:t xml:space="preserve">Chương trình hỗ trợ thuốc Tagrisso (osimertinib) miễn phí một phần cho người bệnh ung thư phổi không tế bào nhỏ giai đoạn tiến triển tại chỗ hoặc di căn có đột biến EGFR hoặc EGFR T790M dương tính do </w:t>
      </w:r>
      <w:r w:rsidRPr="00733C72">
        <w:rPr>
          <w:sz w:val="26"/>
          <w:szCs w:val="26"/>
          <w:lang w:val="es-ES"/>
        </w:rPr>
        <w:t xml:space="preserve">Công ty cổ phần Dược liệu Trung ương 2 thực hiện </w:t>
      </w:r>
      <w:r w:rsidR="00DF7A45" w:rsidRPr="00733C72">
        <w:rPr>
          <w:sz w:val="26"/>
          <w:szCs w:val="26"/>
          <w:lang w:val="es-ES"/>
        </w:rPr>
        <w:t>kể từ  ngày ký, ban hành Quyết định này.</w:t>
      </w:r>
      <w:r w:rsidRPr="00733C72">
        <w:rPr>
          <w:sz w:val="26"/>
          <w:szCs w:val="26"/>
          <w:lang w:val="es-ES"/>
        </w:rPr>
        <w:t xml:space="preserve"> </w:t>
      </w:r>
    </w:p>
    <w:p w:rsidR="000E2C77" w:rsidRPr="00733C72" w:rsidRDefault="00CD6E5D" w:rsidP="00CD6E5D">
      <w:pPr>
        <w:widowControl w:val="0"/>
        <w:spacing w:before="120" w:after="360"/>
        <w:ind w:firstLine="720"/>
        <w:jc w:val="both"/>
        <w:rPr>
          <w:color w:val="000000"/>
          <w:sz w:val="26"/>
          <w:szCs w:val="26"/>
          <w:lang w:val="it-IT"/>
        </w:rPr>
      </w:pPr>
      <w:r w:rsidRPr="00733C72">
        <w:rPr>
          <w:b/>
          <w:sz w:val="26"/>
          <w:szCs w:val="26"/>
          <w:lang w:val="es-ES"/>
        </w:rPr>
        <w:t xml:space="preserve">Điều 4. </w:t>
      </w:r>
      <w:r w:rsidRPr="00733C72">
        <w:rPr>
          <w:sz w:val="26"/>
          <w:szCs w:val="26"/>
          <w:lang w:val="es-ES"/>
        </w:rPr>
        <w:t>Các ông, bà: Chánh Văn phòng Bộ, Chánh Thanh tra Bộ, Vụ trưởng Vụ Bảo hiểm y tế, Cục trưởng Cục Quản lý khám</w:t>
      </w:r>
      <w:r w:rsidR="00634B41" w:rsidRPr="00733C72">
        <w:rPr>
          <w:sz w:val="26"/>
          <w:szCs w:val="26"/>
          <w:lang w:val="es-ES"/>
        </w:rPr>
        <w:t>,</w:t>
      </w:r>
      <w:r w:rsidRPr="00733C72">
        <w:rPr>
          <w:sz w:val="26"/>
          <w:szCs w:val="26"/>
          <w:lang w:val="es-ES"/>
        </w:rPr>
        <w:t xml:space="preserve"> chữa bệnh, Cục trưởng Cục Quản lý Dược, Vụ trưởng Vụ Kế hoạch - Tài chính, Vụ trưởng Vụ Pháp chế, Tổng Giám đốc Công ty cổ phần Dược liệu Trung ương 2, người đứng đầu của </w:t>
      </w:r>
      <w:r w:rsidR="003C15C9" w:rsidRPr="00733C72">
        <w:rPr>
          <w:sz w:val="26"/>
          <w:szCs w:val="26"/>
          <w:lang w:val="es-ES"/>
        </w:rPr>
        <w:t>20</w:t>
      </w:r>
      <w:r w:rsidRPr="00733C72">
        <w:rPr>
          <w:sz w:val="26"/>
          <w:szCs w:val="26"/>
          <w:lang w:val="es-ES"/>
        </w:rPr>
        <w:t xml:space="preserve"> cơ sở khám bệnh, chữa bệnh quy định tại Điểm </w:t>
      </w:r>
      <w:r w:rsidR="00733C72" w:rsidRPr="00733C72">
        <w:rPr>
          <w:sz w:val="26"/>
          <w:szCs w:val="26"/>
          <w:lang w:val="es-ES"/>
        </w:rPr>
        <w:t>a</w:t>
      </w:r>
      <w:r w:rsidRPr="00733C72">
        <w:rPr>
          <w:sz w:val="26"/>
          <w:szCs w:val="26"/>
          <w:lang w:val="es-ES"/>
        </w:rPr>
        <w:t xml:space="preserve"> Khoản 4 Điều 1 Quyết định này và thủ trưởng các đơn vị liên quan chịu trách nhiệm thi hành Quyết định này./.</w:t>
      </w:r>
    </w:p>
    <w:tbl>
      <w:tblPr>
        <w:tblW w:w="0" w:type="auto"/>
        <w:tblLook w:val="01E0" w:firstRow="1" w:lastRow="1" w:firstColumn="1" w:lastColumn="1" w:noHBand="0" w:noVBand="0"/>
      </w:tblPr>
      <w:tblGrid>
        <w:gridCol w:w="5310"/>
        <w:gridCol w:w="3764"/>
      </w:tblGrid>
      <w:tr w:rsidR="000E2C77" w:rsidRPr="00F9217C" w:rsidTr="004D631C">
        <w:trPr>
          <w:trHeight w:val="1402"/>
        </w:trPr>
        <w:tc>
          <w:tcPr>
            <w:tcW w:w="5310" w:type="dxa"/>
          </w:tcPr>
          <w:p w:rsidR="00CD6E5D" w:rsidRPr="0075087D" w:rsidRDefault="00CD6E5D" w:rsidP="00CD6E5D">
            <w:pPr>
              <w:widowControl w:val="0"/>
              <w:spacing w:before="120"/>
              <w:rPr>
                <w:b/>
                <w:i/>
                <w:sz w:val="24"/>
                <w:szCs w:val="24"/>
                <w:lang w:val="es-ES"/>
              </w:rPr>
            </w:pPr>
            <w:r w:rsidRPr="0075087D">
              <w:rPr>
                <w:b/>
                <w:i/>
                <w:sz w:val="24"/>
                <w:szCs w:val="24"/>
                <w:lang w:val="es-ES"/>
              </w:rPr>
              <w:t>Nơi nhận:</w:t>
            </w:r>
          </w:p>
          <w:p w:rsidR="00CD6E5D" w:rsidRDefault="00CD6E5D" w:rsidP="00CD6E5D">
            <w:pPr>
              <w:widowControl w:val="0"/>
              <w:rPr>
                <w:sz w:val="22"/>
                <w:szCs w:val="22"/>
                <w:lang w:val="es-ES"/>
              </w:rPr>
            </w:pPr>
            <w:r w:rsidRPr="005E5424">
              <w:rPr>
                <w:sz w:val="22"/>
                <w:szCs w:val="22"/>
                <w:lang w:val="es-ES"/>
              </w:rPr>
              <w:t>- Như Điều 4;</w:t>
            </w:r>
          </w:p>
          <w:p w:rsidR="007C3536" w:rsidRPr="005E5424" w:rsidRDefault="007C3536" w:rsidP="00CD6E5D">
            <w:pPr>
              <w:widowControl w:val="0"/>
              <w:rPr>
                <w:sz w:val="22"/>
                <w:szCs w:val="22"/>
                <w:lang w:val="es-ES"/>
              </w:rPr>
            </w:pPr>
            <w:r>
              <w:rPr>
                <w:sz w:val="22"/>
                <w:szCs w:val="22"/>
                <w:lang w:val="es-ES"/>
              </w:rPr>
              <w:t>- Bộ trưởng (để báo cáo);</w:t>
            </w:r>
            <w:bookmarkStart w:id="1" w:name="_GoBack"/>
            <w:bookmarkEnd w:id="1"/>
          </w:p>
          <w:p w:rsidR="00CD6E5D" w:rsidRPr="005E5424" w:rsidRDefault="00CD6E5D" w:rsidP="00CD6E5D">
            <w:pPr>
              <w:widowControl w:val="0"/>
              <w:rPr>
                <w:sz w:val="22"/>
                <w:szCs w:val="22"/>
                <w:lang w:val="es-ES"/>
              </w:rPr>
            </w:pPr>
            <w:r w:rsidRPr="005E5424">
              <w:rPr>
                <w:sz w:val="22"/>
                <w:szCs w:val="22"/>
                <w:lang w:val="es-ES"/>
              </w:rPr>
              <w:t>- Các Thứ trưởng;</w:t>
            </w:r>
          </w:p>
          <w:p w:rsidR="00CD6E5D" w:rsidRDefault="00CD6E5D" w:rsidP="00CD6E5D">
            <w:pPr>
              <w:widowControl w:val="0"/>
              <w:ind w:right="1306"/>
              <w:rPr>
                <w:sz w:val="22"/>
                <w:szCs w:val="22"/>
                <w:lang w:val="es-ES"/>
              </w:rPr>
            </w:pPr>
            <w:r w:rsidRPr="005E5424">
              <w:rPr>
                <w:sz w:val="22"/>
                <w:szCs w:val="22"/>
                <w:lang w:val="es-ES"/>
              </w:rPr>
              <w:t xml:space="preserve">- Thành viên Hội đồng thẩm định tại </w:t>
            </w:r>
          </w:p>
          <w:p w:rsidR="00CD6E5D" w:rsidRPr="005E5424" w:rsidRDefault="00CD6E5D" w:rsidP="00CD6E5D">
            <w:pPr>
              <w:widowControl w:val="0"/>
              <w:ind w:right="1306"/>
              <w:rPr>
                <w:sz w:val="22"/>
                <w:szCs w:val="22"/>
                <w:lang w:val="es-ES"/>
              </w:rPr>
            </w:pPr>
            <w:r w:rsidRPr="005E5424">
              <w:rPr>
                <w:sz w:val="22"/>
                <w:szCs w:val="22"/>
                <w:lang w:val="es-ES"/>
              </w:rPr>
              <w:t>QĐ 2020/QĐ-BYT ngày 28/5/2019;</w:t>
            </w:r>
          </w:p>
          <w:p w:rsidR="000E2C77" w:rsidRPr="00F9217C" w:rsidRDefault="00CD6E5D" w:rsidP="00CD6E5D">
            <w:pPr>
              <w:widowControl w:val="0"/>
              <w:autoSpaceDE w:val="0"/>
              <w:autoSpaceDN w:val="0"/>
              <w:adjustRightInd w:val="0"/>
              <w:jc w:val="both"/>
              <w:rPr>
                <w:color w:val="000000"/>
                <w:sz w:val="24"/>
                <w:szCs w:val="24"/>
              </w:rPr>
            </w:pPr>
            <w:r w:rsidRPr="005E5424">
              <w:rPr>
                <w:sz w:val="22"/>
                <w:szCs w:val="22"/>
                <w:lang w:val="es-ES"/>
              </w:rPr>
              <w:t>- Lưu: VT, BH.</w:t>
            </w:r>
            <w:r w:rsidRPr="00832C68">
              <w:rPr>
                <w:sz w:val="20"/>
                <w:lang w:val="es-ES"/>
              </w:rPr>
              <w:t xml:space="preserve">  </w:t>
            </w:r>
          </w:p>
        </w:tc>
        <w:tc>
          <w:tcPr>
            <w:tcW w:w="3764" w:type="dxa"/>
          </w:tcPr>
          <w:p w:rsidR="00CD6E5D" w:rsidRPr="005E5424" w:rsidRDefault="00CD6E5D" w:rsidP="00CD6E5D">
            <w:pPr>
              <w:widowControl w:val="0"/>
              <w:spacing w:before="120"/>
              <w:jc w:val="center"/>
              <w:rPr>
                <w:b/>
                <w:sz w:val="26"/>
                <w:szCs w:val="26"/>
                <w:lang w:val="es-ES"/>
              </w:rPr>
            </w:pPr>
            <w:r w:rsidRPr="005E5424">
              <w:rPr>
                <w:b/>
                <w:sz w:val="26"/>
                <w:szCs w:val="26"/>
                <w:lang w:val="es-ES"/>
              </w:rPr>
              <w:t>KT. BỘ TRƯỞNG</w:t>
            </w:r>
          </w:p>
          <w:p w:rsidR="00CD6E5D" w:rsidRPr="005E5424" w:rsidRDefault="00CD6E5D" w:rsidP="00CD6E5D">
            <w:pPr>
              <w:widowControl w:val="0"/>
              <w:jc w:val="center"/>
              <w:rPr>
                <w:b/>
                <w:sz w:val="26"/>
                <w:szCs w:val="26"/>
                <w:lang w:val="es-ES"/>
              </w:rPr>
            </w:pPr>
            <w:r w:rsidRPr="005E5424">
              <w:rPr>
                <w:b/>
                <w:sz w:val="26"/>
                <w:szCs w:val="26"/>
                <w:lang w:val="es-ES"/>
              </w:rPr>
              <w:t>THỨ TRƯỞNG</w:t>
            </w:r>
          </w:p>
          <w:p w:rsidR="002F1738" w:rsidRDefault="002F1738" w:rsidP="00F9217C">
            <w:pPr>
              <w:widowControl w:val="0"/>
              <w:autoSpaceDE w:val="0"/>
              <w:autoSpaceDN w:val="0"/>
              <w:adjustRightInd w:val="0"/>
              <w:jc w:val="center"/>
              <w:rPr>
                <w:b/>
                <w:bCs/>
                <w:color w:val="FFFFFF" w:themeColor="background1"/>
                <w:sz w:val="26"/>
                <w:szCs w:val="26"/>
              </w:rPr>
            </w:pPr>
          </w:p>
          <w:p w:rsidR="009D03C0" w:rsidRDefault="009D03C0" w:rsidP="00F9217C">
            <w:pPr>
              <w:widowControl w:val="0"/>
              <w:autoSpaceDE w:val="0"/>
              <w:autoSpaceDN w:val="0"/>
              <w:adjustRightInd w:val="0"/>
              <w:jc w:val="center"/>
              <w:rPr>
                <w:b/>
                <w:bCs/>
                <w:color w:val="FFFFFF" w:themeColor="background1"/>
                <w:sz w:val="26"/>
                <w:szCs w:val="26"/>
              </w:rPr>
            </w:pPr>
          </w:p>
          <w:p w:rsidR="001B6F7F" w:rsidRDefault="001B6F7F" w:rsidP="00F9217C">
            <w:pPr>
              <w:widowControl w:val="0"/>
              <w:autoSpaceDE w:val="0"/>
              <w:autoSpaceDN w:val="0"/>
              <w:adjustRightInd w:val="0"/>
              <w:jc w:val="center"/>
              <w:rPr>
                <w:b/>
                <w:bCs/>
                <w:color w:val="FFFFFF" w:themeColor="background1"/>
                <w:sz w:val="26"/>
                <w:szCs w:val="26"/>
              </w:rPr>
            </w:pPr>
          </w:p>
          <w:p w:rsidR="001B6F7F" w:rsidRPr="00773DA9" w:rsidRDefault="001B6F7F" w:rsidP="00F9217C">
            <w:pPr>
              <w:widowControl w:val="0"/>
              <w:autoSpaceDE w:val="0"/>
              <w:autoSpaceDN w:val="0"/>
              <w:adjustRightInd w:val="0"/>
              <w:jc w:val="center"/>
              <w:rPr>
                <w:b/>
                <w:bCs/>
                <w:color w:val="FFFFFF" w:themeColor="background1"/>
                <w:sz w:val="26"/>
                <w:szCs w:val="26"/>
              </w:rPr>
            </w:pPr>
          </w:p>
          <w:p w:rsidR="00286DA9" w:rsidRPr="00773DA9" w:rsidRDefault="00610D34">
            <w:pPr>
              <w:widowControl w:val="0"/>
              <w:autoSpaceDE w:val="0"/>
              <w:autoSpaceDN w:val="0"/>
              <w:adjustRightInd w:val="0"/>
              <w:jc w:val="center"/>
              <w:textAlignment w:val="center"/>
              <w:rPr>
                <w:b/>
                <w:bCs/>
                <w:color w:val="FFFFFF" w:themeColor="background1"/>
                <w:sz w:val="26"/>
                <w:szCs w:val="26"/>
              </w:rPr>
            </w:pPr>
            <w:r w:rsidRPr="00773DA9">
              <w:rPr>
                <w:b/>
                <w:color w:val="FFFFFF" w:themeColor="background1"/>
                <w:sz w:val="26"/>
                <w:szCs w:val="26"/>
              </w:rPr>
              <w:t>[daky]</w:t>
            </w:r>
          </w:p>
          <w:p w:rsidR="00286DA9" w:rsidRDefault="00286DA9">
            <w:pPr>
              <w:widowControl w:val="0"/>
              <w:autoSpaceDE w:val="0"/>
              <w:autoSpaceDN w:val="0"/>
              <w:adjustRightInd w:val="0"/>
              <w:jc w:val="center"/>
              <w:textAlignment w:val="center"/>
              <w:rPr>
                <w:b/>
                <w:bCs/>
                <w:color w:val="FFFFFF" w:themeColor="background1"/>
                <w:sz w:val="26"/>
                <w:szCs w:val="26"/>
              </w:rPr>
            </w:pPr>
          </w:p>
          <w:p w:rsidR="000E2C77" w:rsidRPr="0075087D" w:rsidRDefault="00CD6E5D" w:rsidP="00F9217C">
            <w:pPr>
              <w:widowControl w:val="0"/>
              <w:autoSpaceDE w:val="0"/>
              <w:autoSpaceDN w:val="0"/>
              <w:adjustRightInd w:val="0"/>
              <w:jc w:val="center"/>
              <w:rPr>
                <w:b/>
                <w:bCs/>
                <w:color w:val="000000"/>
                <w:sz w:val="26"/>
                <w:szCs w:val="26"/>
              </w:rPr>
            </w:pPr>
            <w:r w:rsidRPr="0075087D">
              <w:rPr>
                <w:b/>
                <w:bCs/>
                <w:color w:val="000000"/>
                <w:sz w:val="26"/>
                <w:szCs w:val="26"/>
              </w:rPr>
              <w:t>Nguyễn Trường Sơn</w:t>
            </w:r>
          </w:p>
        </w:tc>
      </w:tr>
    </w:tbl>
    <w:p w:rsidR="005F7FED" w:rsidRDefault="005F7FED" w:rsidP="0075087D"/>
    <w:sectPr w:rsidR="005F7FED" w:rsidSect="0075087D">
      <w:footerReference w:type="default" r:id="rId9"/>
      <w:pgSz w:w="11909" w:h="16834" w:code="9"/>
      <w:pgMar w:top="1077" w:right="1134" w:bottom="964" w:left="1701" w:header="720" w:footer="33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DC" w:rsidRDefault="00F116DC">
      <w:r>
        <w:separator/>
      </w:r>
    </w:p>
  </w:endnote>
  <w:endnote w:type="continuationSeparator" w:id="0">
    <w:p w:rsidR="00F116DC" w:rsidRDefault="00F1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493534"/>
      <w:docPartObj>
        <w:docPartGallery w:val="Page Numbers (Bottom of Page)"/>
        <w:docPartUnique/>
      </w:docPartObj>
    </w:sdtPr>
    <w:sdtEndPr>
      <w:rPr>
        <w:noProof/>
        <w:sz w:val="26"/>
        <w:szCs w:val="26"/>
      </w:rPr>
    </w:sdtEndPr>
    <w:sdtContent>
      <w:p w:rsidR="0075087D" w:rsidRPr="0075087D" w:rsidRDefault="0075087D">
        <w:pPr>
          <w:pStyle w:val="Footer"/>
          <w:jc w:val="center"/>
          <w:rPr>
            <w:sz w:val="26"/>
            <w:szCs w:val="26"/>
          </w:rPr>
        </w:pPr>
        <w:r w:rsidRPr="0075087D">
          <w:rPr>
            <w:sz w:val="26"/>
            <w:szCs w:val="26"/>
          </w:rPr>
          <w:fldChar w:fldCharType="begin"/>
        </w:r>
        <w:r w:rsidRPr="0075087D">
          <w:rPr>
            <w:sz w:val="26"/>
            <w:szCs w:val="26"/>
          </w:rPr>
          <w:instrText xml:space="preserve"> PAGE   \* MERGEFORMAT </w:instrText>
        </w:r>
        <w:r w:rsidRPr="0075087D">
          <w:rPr>
            <w:sz w:val="26"/>
            <w:szCs w:val="26"/>
          </w:rPr>
          <w:fldChar w:fldCharType="separate"/>
        </w:r>
        <w:r w:rsidR="007C3536">
          <w:rPr>
            <w:noProof/>
            <w:sz w:val="26"/>
            <w:szCs w:val="26"/>
          </w:rPr>
          <w:t>3</w:t>
        </w:r>
        <w:r w:rsidRPr="0075087D">
          <w:rPr>
            <w:noProof/>
            <w:sz w:val="26"/>
            <w:szCs w:val="26"/>
          </w:rPr>
          <w:fldChar w:fldCharType="end"/>
        </w:r>
      </w:p>
    </w:sdtContent>
  </w:sdt>
  <w:p w:rsidR="0075087D" w:rsidRDefault="00750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DC" w:rsidRDefault="00F116DC">
      <w:r>
        <w:separator/>
      </w:r>
    </w:p>
  </w:footnote>
  <w:footnote w:type="continuationSeparator" w:id="0">
    <w:p w:rsidR="00F116DC" w:rsidRDefault="00F11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B2722"/>
    <w:multiLevelType w:val="hybridMultilevel"/>
    <w:tmpl w:val="163EC322"/>
    <w:lvl w:ilvl="0" w:tplc="89FE42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ng Thi Diep">
    <w15:presenceInfo w15:providerId="AD" w15:userId="S::kfdh382@astrazeneca.net::6fdee2e3-cff5-40e3-90ab-5424471ad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835"/>
    <w:rsid w:val="00005296"/>
    <w:rsid w:val="00017FDD"/>
    <w:rsid w:val="000503F1"/>
    <w:rsid w:val="00084E4F"/>
    <w:rsid w:val="0008688E"/>
    <w:rsid w:val="000C4BA4"/>
    <w:rsid w:val="000D2ADD"/>
    <w:rsid w:val="000D4629"/>
    <w:rsid w:val="000E03D2"/>
    <w:rsid w:val="000E2C77"/>
    <w:rsid w:val="0010352E"/>
    <w:rsid w:val="001067D4"/>
    <w:rsid w:val="00107AF5"/>
    <w:rsid w:val="00136547"/>
    <w:rsid w:val="00141EF0"/>
    <w:rsid w:val="0014586A"/>
    <w:rsid w:val="00151AA6"/>
    <w:rsid w:val="00153CF0"/>
    <w:rsid w:val="001563E0"/>
    <w:rsid w:val="00170243"/>
    <w:rsid w:val="00181210"/>
    <w:rsid w:val="0019119B"/>
    <w:rsid w:val="001923B8"/>
    <w:rsid w:val="0019674F"/>
    <w:rsid w:val="00197FE0"/>
    <w:rsid w:val="001A7A18"/>
    <w:rsid w:val="001B0C15"/>
    <w:rsid w:val="001B6F7F"/>
    <w:rsid w:val="001C6922"/>
    <w:rsid w:val="001D1DC8"/>
    <w:rsid w:val="001E73FE"/>
    <w:rsid w:val="00234494"/>
    <w:rsid w:val="002506EB"/>
    <w:rsid w:val="00262A30"/>
    <w:rsid w:val="00262F94"/>
    <w:rsid w:val="002638D2"/>
    <w:rsid w:val="00265473"/>
    <w:rsid w:val="00266416"/>
    <w:rsid w:val="0027051E"/>
    <w:rsid w:val="0027212D"/>
    <w:rsid w:val="00282820"/>
    <w:rsid w:val="00286DA9"/>
    <w:rsid w:val="00287100"/>
    <w:rsid w:val="00290771"/>
    <w:rsid w:val="002912C5"/>
    <w:rsid w:val="002A63EF"/>
    <w:rsid w:val="002B6A87"/>
    <w:rsid w:val="002C33FC"/>
    <w:rsid w:val="002E1503"/>
    <w:rsid w:val="002F1738"/>
    <w:rsid w:val="002F3317"/>
    <w:rsid w:val="002F5B72"/>
    <w:rsid w:val="003022DB"/>
    <w:rsid w:val="00312675"/>
    <w:rsid w:val="00312FD5"/>
    <w:rsid w:val="003154D1"/>
    <w:rsid w:val="00326945"/>
    <w:rsid w:val="00335C28"/>
    <w:rsid w:val="00345668"/>
    <w:rsid w:val="00351AC5"/>
    <w:rsid w:val="003539D5"/>
    <w:rsid w:val="003610A4"/>
    <w:rsid w:val="00363B9C"/>
    <w:rsid w:val="00381433"/>
    <w:rsid w:val="003A42F8"/>
    <w:rsid w:val="003B3524"/>
    <w:rsid w:val="003C07A6"/>
    <w:rsid w:val="003C110F"/>
    <w:rsid w:val="003C15C9"/>
    <w:rsid w:val="003D36EB"/>
    <w:rsid w:val="003E21C5"/>
    <w:rsid w:val="003E28EC"/>
    <w:rsid w:val="003E56E3"/>
    <w:rsid w:val="00401BBE"/>
    <w:rsid w:val="0040599A"/>
    <w:rsid w:val="0040766E"/>
    <w:rsid w:val="004160A8"/>
    <w:rsid w:val="00416CCD"/>
    <w:rsid w:val="004570B7"/>
    <w:rsid w:val="004621D5"/>
    <w:rsid w:val="004625F3"/>
    <w:rsid w:val="0048550F"/>
    <w:rsid w:val="0048688D"/>
    <w:rsid w:val="00491836"/>
    <w:rsid w:val="004B6E8B"/>
    <w:rsid w:val="004C0522"/>
    <w:rsid w:val="004C0532"/>
    <w:rsid w:val="004D0BE3"/>
    <w:rsid w:val="004D631C"/>
    <w:rsid w:val="004E057D"/>
    <w:rsid w:val="004E49CB"/>
    <w:rsid w:val="004F0DBB"/>
    <w:rsid w:val="004F31C3"/>
    <w:rsid w:val="005103A1"/>
    <w:rsid w:val="00513E46"/>
    <w:rsid w:val="0052186C"/>
    <w:rsid w:val="00524715"/>
    <w:rsid w:val="0053301B"/>
    <w:rsid w:val="0053424F"/>
    <w:rsid w:val="0053588C"/>
    <w:rsid w:val="00550F0B"/>
    <w:rsid w:val="00556CF6"/>
    <w:rsid w:val="00557821"/>
    <w:rsid w:val="005670A2"/>
    <w:rsid w:val="005B2115"/>
    <w:rsid w:val="005B4C42"/>
    <w:rsid w:val="005C061A"/>
    <w:rsid w:val="005C0D19"/>
    <w:rsid w:val="005C534A"/>
    <w:rsid w:val="005E2BCF"/>
    <w:rsid w:val="005F3011"/>
    <w:rsid w:val="005F4102"/>
    <w:rsid w:val="005F7FED"/>
    <w:rsid w:val="00604A0C"/>
    <w:rsid w:val="00610D34"/>
    <w:rsid w:val="00627220"/>
    <w:rsid w:val="00633300"/>
    <w:rsid w:val="0063426E"/>
    <w:rsid w:val="00634B41"/>
    <w:rsid w:val="006375C8"/>
    <w:rsid w:val="0064276C"/>
    <w:rsid w:val="006433DD"/>
    <w:rsid w:val="0065770E"/>
    <w:rsid w:val="006625A6"/>
    <w:rsid w:val="00664052"/>
    <w:rsid w:val="0069749D"/>
    <w:rsid w:val="006A1CA5"/>
    <w:rsid w:val="006A544D"/>
    <w:rsid w:val="006B2F40"/>
    <w:rsid w:val="006B3DD2"/>
    <w:rsid w:val="006B3F21"/>
    <w:rsid w:val="006B790A"/>
    <w:rsid w:val="006C29FA"/>
    <w:rsid w:val="006C5FFF"/>
    <w:rsid w:val="006C692C"/>
    <w:rsid w:val="00701AFA"/>
    <w:rsid w:val="0070549B"/>
    <w:rsid w:val="00715895"/>
    <w:rsid w:val="00724576"/>
    <w:rsid w:val="00730C14"/>
    <w:rsid w:val="00733C72"/>
    <w:rsid w:val="00734FA0"/>
    <w:rsid w:val="00740874"/>
    <w:rsid w:val="0075087D"/>
    <w:rsid w:val="007531D5"/>
    <w:rsid w:val="00753B5B"/>
    <w:rsid w:val="0076675A"/>
    <w:rsid w:val="00772EB3"/>
    <w:rsid w:val="00773DA9"/>
    <w:rsid w:val="007B1952"/>
    <w:rsid w:val="007C3536"/>
    <w:rsid w:val="007C37BE"/>
    <w:rsid w:val="007E0A48"/>
    <w:rsid w:val="007E1D24"/>
    <w:rsid w:val="007E3036"/>
    <w:rsid w:val="007E6FC1"/>
    <w:rsid w:val="007F3B3D"/>
    <w:rsid w:val="0080193E"/>
    <w:rsid w:val="00813FF3"/>
    <w:rsid w:val="008165A6"/>
    <w:rsid w:val="00827C77"/>
    <w:rsid w:val="00831592"/>
    <w:rsid w:val="00842D13"/>
    <w:rsid w:val="00843E4D"/>
    <w:rsid w:val="00851D91"/>
    <w:rsid w:val="00854446"/>
    <w:rsid w:val="00854670"/>
    <w:rsid w:val="00855049"/>
    <w:rsid w:val="00867651"/>
    <w:rsid w:val="008730E9"/>
    <w:rsid w:val="00875A22"/>
    <w:rsid w:val="00883194"/>
    <w:rsid w:val="008D24F9"/>
    <w:rsid w:val="008E02E2"/>
    <w:rsid w:val="008E25E2"/>
    <w:rsid w:val="008E4A37"/>
    <w:rsid w:val="008E5F51"/>
    <w:rsid w:val="0091140C"/>
    <w:rsid w:val="009172AC"/>
    <w:rsid w:val="009265ED"/>
    <w:rsid w:val="00927B4D"/>
    <w:rsid w:val="00963C46"/>
    <w:rsid w:val="00983608"/>
    <w:rsid w:val="00990424"/>
    <w:rsid w:val="009A00E1"/>
    <w:rsid w:val="009A69E1"/>
    <w:rsid w:val="009B7FDC"/>
    <w:rsid w:val="009C2D8C"/>
    <w:rsid w:val="009D03C0"/>
    <w:rsid w:val="009D195D"/>
    <w:rsid w:val="00A24F16"/>
    <w:rsid w:val="00A2755B"/>
    <w:rsid w:val="00A4376D"/>
    <w:rsid w:val="00A96CD7"/>
    <w:rsid w:val="00AA09F3"/>
    <w:rsid w:val="00AA4D48"/>
    <w:rsid w:val="00AB3F92"/>
    <w:rsid w:val="00AB44AB"/>
    <w:rsid w:val="00AB72AB"/>
    <w:rsid w:val="00AC267A"/>
    <w:rsid w:val="00AC6558"/>
    <w:rsid w:val="00AD206F"/>
    <w:rsid w:val="00AE12BF"/>
    <w:rsid w:val="00AF2835"/>
    <w:rsid w:val="00AF739C"/>
    <w:rsid w:val="00B06CF3"/>
    <w:rsid w:val="00B12BCB"/>
    <w:rsid w:val="00B227A8"/>
    <w:rsid w:val="00B3127D"/>
    <w:rsid w:val="00B5635B"/>
    <w:rsid w:val="00B6450A"/>
    <w:rsid w:val="00B701B8"/>
    <w:rsid w:val="00B77195"/>
    <w:rsid w:val="00B82362"/>
    <w:rsid w:val="00B829E0"/>
    <w:rsid w:val="00B93119"/>
    <w:rsid w:val="00BA4638"/>
    <w:rsid w:val="00BB15CE"/>
    <w:rsid w:val="00BB6E3D"/>
    <w:rsid w:val="00BC77BF"/>
    <w:rsid w:val="00BD70C3"/>
    <w:rsid w:val="00BE3F79"/>
    <w:rsid w:val="00BE74A0"/>
    <w:rsid w:val="00BF4B41"/>
    <w:rsid w:val="00C03E78"/>
    <w:rsid w:val="00C42EB5"/>
    <w:rsid w:val="00C50290"/>
    <w:rsid w:val="00C8570B"/>
    <w:rsid w:val="00C85C9F"/>
    <w:rsid w:val="00CA4CC5"/>
    <w:rsid w:val="00CA7995"/>
    <w:rsid w:val="00CB0FD7"/>
    <w:rsid w:val="00CD6E5D"/>
    <w:rsid w:val="00CE3F38"/>
    <w:rsid w:val="00CE6720"/>
    <w:rsid w:val="00D042A5"/>
    <w:rsid w:val="00D266EE"/>
    <w:rsid w:val="00D41559"/>
    <w:rsid w:val="00D42325"/>
    <w:rsid w:val="00D5514A"/>
    <w:rsid w:val="00D5654D"/>
    <w:rsid w:val="00D56FFA"/>
    <w:rsid w:val="00D62962"/>
    <w:rsid w:val="00D919E8"/>
    <w:rsid w:val="00D97E71"/>
    <w:rsid w:val="00DC07C6"/>
    <w:rsid w:val="00DC20E9"/>
    <w:rsid w:val="00DC5CBD"/>
    <w:rsid w:val="00DC6188"/>
    <w:rsid w:val="00DD4A4E"/>
    <w:rsid w:val="00DD6381"/>
    <w:rsid w:val="00DE6D62"/>
    <w:rsid w:val="00DF6F8B"/>
    <w:rsid w:val="00DF7A45"/>
    <w:rsid w:val="00E07D27"/>
    <w:rsid w:val="00E32AFE"/>
    <w:rsid w:val="00E504D6"/>
    <w:rsid w:val="00E85A18"/>
    <w:rsid w:val="00E94CB2"/>
    <w:rsid w:val="00E97DD7"/>
    <w:rsid w:val="00EA482B"/>
    <w:rsid w:val="00EA5F35"/>
    <w:rsid w:val="00EA62C5"/>
    <w:rsid w:val="00EA64B6"/>
    <w:rsid w:val="00EA6A1A"/>
    <w:rsid w:val="00EB273C"/>
    <w:rsid w:val="00EB3906"/>
    <w:rsid w:val="00EC6861"/>
    <w:rsid w:val="00ED5B16"/>
    <w:rsid w:val="00EE2C3C"/>
    <w:rsid w:val="00EF0FF1"/>
    <w:rsid w:val="00EF217F"/>
    <w:rsid w:val="00F049D6"/>
    <w:rsid w:val="00F116DC"/>
    <w:rsid w:val="00F26BAA"/>
    <w:rsid w:val="00F451EC"/>
    <w:rsid w:val="00F5746B"/>
    <w:rsid w:val="00F66CCD"/>
    <w:rsid w:val="00F725D4"/>
    <w:rsid w:val="00F75C85"/>
    <w:rsid w:val="00F77D78"/>
    <w:rsid w:val="00F9217C"/>
    <w:rsid w:val="00F966F2"/>
    <w:rsid w:val="00FA09D8"/>
    <w:rsid w:val="00FC3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st1">
    <w:name w:val="st1"/>
    <w:basedOn w:val="DefaultParagraphFont"/>
    <w:rsid w:val="00CD6E5D"/>
  </w:style>
  <w:style w:type="paragraph" w:customStyle="1" w:styleId="Default">
    <w:name w:val="Default"/>
    <w:uiPriority w:val="99"/>
    <w:rsid w:val="00CD6E5D"/>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CD6E5D"/>
    <w:pPr>
      <w:ind w:left="720"/>
      <w:contextualSpacing/>
    </w:pPr>
    <w:rPr>
      <w:rFonts w:eastAsia="SimSun"/>
      <w:sz w:val="24"/>
      <w:szCs w:val="24"/>
      <w:lang w:val="en-GB" w:eastAsia="zh-CN"/>
    </w:rPr>
  </w:style>
  <w:style w:type="paragraph" w:styleId="BalloonText">
    <w:name w:val="Balloon Text"/>
    <w:basedOn w:val="Normal"/>
    <w:link w:val="BalloonTextChar"/>
    <w:semiHidden/>
    <w:unhideWhenUsed/>
    <w:rsid w:val="00084E4F"/>
    <w:rPr>
      <w:rFonts w:ascii="Segoe UI" w:hAnsi="Segoe UI" w:cs="Segoe UI"/>
      <w:sz w:val="18"/>
      <w:szCs w:val="18"/>
    </w:rPr>
  </w:style>
  <w:style w:type="character" w:customStyle="1" w:styleId="BalloonTextChar">
    <w:name w:val="Balloon Text Char"/>
    <w:basedOn w:val="DefaultParagraphFont"/>
    <w:link w:val="BalloonText"/>
    <w:semiHidden/>
    <w:rsid w:val="00084E4F"/>
    <w:rPr>
      <w:rFonts w:ascii="Segoe UI" w:hAnsi="Segoe UI" w:cs="Segoe UI"/>
      <w:sz w:val="18"/>
      <w:szCs w:val="18"/>
    </w:rPr>
  </w:style>
  <w:style w:type="character" w:customStyle="1" w:styleId="FooterChar">
    <w:name w:val="Footer Char"/>
    <w:basedOn w:val="DefaultParagraphFont"/>
    <w:link w:val="Footer"/>
    <w:uiPriority w:val="99"/>
    <w:rsid w:val="0075087D"/>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6A0F-44F3-451A-92D7-51E2A110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421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saocodon</cp:lastModifiedBy>
  <cp:revision>137</cp:revision>
  <cp:lastPrinted>2020-04-16T03:13:00Z</cp:lastPrinted>
  <dcterms:created xsi:type="dcterms:W3CDTF">2019-03-08T07:10:00Z</dcterms:created>
  <dcterms:modified xsi:type="dcterms:W3CDTF">2020-11-27T02:56:00Z</dcterms:modified>
</cp:coreProperties>
</file>